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2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decomposition"/>
          <w:p>
            <w:pPr>
              <w:pStyle w:val="BodyText"/>
            </w:pPr>
            <w:r>
              <w:rPr>
                <w:b/>
                <w:bCs/>
              </w:rPr>
              <w:t xml:space="preserve">Definition 1 (Classical Mediation Decomposition)</w:t>
            </w:r>
            <w:r>
              <w:t xml:space="preserve"> </w:t>
            </w:r>
            <w:r>
              <w:t xml:space="preserve">In a linear structural equation model,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ε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indirect effect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),</w:t>
            </w:r>
            <w:r>
              <w:t xml:space="preserve"> </w:t>
            </w:r>
            <w:r>
              <w:t xml:space="preserve">the direct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the total effect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9"/>
        </w:tc>
      </w:tr>
    </w:tbl>
    <w:bookmarkStart w:id="11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2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10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1"/>
    <w:bookmarkEnd w:id="12"/>
    <w:bookmarkStart w:id="17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4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4"/>
        </w:tc>
      </w:tr>
    </w:tbl>
    <w:bookmarkStart w:id="16" w:name="the-decomposition"/>
    <w:p>
      <w:pPr>
        <w:pStyle w:val="Heading3"/>
      </w:pPr>
      <w:r>
        <w:t xml:space="preserve">2.1 The Decomposition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thm-mediation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(Additive Decomposition of the Total Effect)</w:t>
            </w:r>
            <w:r>
              <w:t xml:space="preserve"> </w:t>
            </w:r>
            <w:r>
              <w:t xml:space="preserve">On the additive (difference) scale, the total effect decomposes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6"/>
    <w:bookmarkEnd w:id="17"/>
    <w:bookmarkStart w:id="20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5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8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9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9"/>
    <w:bookmarkEnd w:id="20"/>
    <w:bookmarkStart w:id="28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6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2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2"/>
    <w:bookmarkStart w:id="27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7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3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7"/>
    <w:bookmarkEnd w:id="28"/>
    <w:bookmarkStart w:id="29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9"/>
    <w:bookmarkStart w:id="33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2026-08-20T20:01:11Z</dcterms:created>
  <dcterms:modified xsi:type="dcterms:W3CDTF">2026-08-20T20:01:11Z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