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22" w:name="identifiability-conditions-pp.-25-27"/>
    <w:p>
      <w:pPr>
        <w:pStyle w:val="Heading2"/>
      </w:pPr>
      <w:r>
        <w:t xml:space="preserve">1 3.1 Identifiability Conditions (pp. 25-27)</w:t>
      </w:r>
    </w:p>
    <w:p>
      <w:r>
        <w:pict>
          <v:rect style="width:0;height:1.5pt" o:hralign="center" o:hrstd="t" o:hr="t"/>
        </w:pic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bookmarkStart w:id="20"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20"/>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21"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21"/>
    <w:bookmarkEnd w:id="22"/>
    <w:bookmarkStart w:id="27" w:name="exchangeability-pp.-27-29"/>
    <w:p>
      <w:pPr>
        <w:pStyle w:val="Heading2"/>
      </w:pPr>
      <w:r>
        <w:t xml:space="preserve">2 3.2 Exchangeability (pp. 27-29)</w:t>
      </w:r>
    </w:p>
    <w:p>
      <w:r>
        <w:pict>
          <v:rect style="width:0;height:1.5pt" o:hralign="center" o:hrstd="t" o:hr="t"/>
        </w:pic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bookmarkStart w:id="23"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23"/>
    <w:p>
      <w:pPr>
        <w:pStyle w:val="BodyText"/>
      </w:pPr>
      <w:r>
        <w:t xml:space="preserve">Under conditional exchangeability:</w:t>
      </w:r>
    </w:p>
    <w:p>
      <w:pPr>
        <w:pStyle w:val="BodyText"/>
      </w:pPr>
      <m:oMathPara>
        <m:oMathParaPr>
          <m:jc m:val="center"/>
        </m:oMathParaPr>
        <m:oMath>
          <m:r>
            <m:t>P</m:t>
          </m:r>
          <m:r>
            <m:t>r</m:t>
          </m:r>
          <m:d>
            <m:dPr>
              <m:begChr m:val="["/>
              <m:sepChr m:val=""/>
              <m:endChr m:val="]"/>
              <m:grow/>
            </m:dPr>
            <m:e>
              <m:sSup>
                <m:e>
                  <m:r>
                    <m:t>Y</m:t>
                  </m:r>
                </m:e>
                <m:sup>
                  <m:r>
                    <m:t>a</m:t>
                  </m:r>
                </m:sup>
              </m:sSup>
              <m:r>
                <m:rPr>
                  <m:sty m:val="p"/>
                </m:rPr>
                <m:t>=</m:t>
              </m:r>
              <m:r>
                <m:t>1</m:t>
              </m:r>
              <m:r>
                <m:rPr>
                  <m:sty m:val="p"/>
                </m:rPr>
                <m:t>|</m:t>
              </m:r>
              <m:r>
                <m:t>A</m:t>
              </m:r>
              <m:r>
                <m:rPr>
                  <m:sty m:val="p"/>
                </m:rPr>
                <m:t>=</m:t>
              </m:r>
              <m:r>
                <m:t>1</m:t>
              </m:r>
              <m:r>
                <m:rPr>
                  <m:sty m:val="p"/>
                </m:rPr>
                <m:t>,</m:t>
              </m:r>
              <m:r>
                <m:t>L</m:t>
              </m:r>
            </m:e>
          </m:d>
          <m:r>
            <m:rPr>
              <m:sty m:val="p"/>
            </m:rPr>
            <m:t>=</m:t>
          </m:r>
          <m:r>
            <m:t>P</m:t>
          </m:r>
          <m:r>
            <m:t>r</m:t>
          </m:r>
          <m:d>
            <m:dPr>
              <m:begChr m:val="["/>
              <m:sepChr m:val=""/>
              <m:endChr m:val="]"/>
              <m:grow/>
            </m:dPr>
            <m:e>
              <m:sSup>
                <m:e>
                  <m:r>
                    <m:t>Y</m:t>
                  </m:r>
                </m:e>
                <m:sup>
                  <m:r>
                    <m:t>a</m:t>
                  </m:r>
                </m:sup>
              </m:sSup>
              <m:r>
                <m:rPr>
                  <m:sty m:val="p"/>
                </m:rPr>
                <m:t>=</m:t>
              </m:r>
              <m:r>
                <m:t>1</m:t>
              </m:r>
              <m:r>
                <m:rPr>
                  <m:sty m:val="p"/>
                </m:rPr>
                <m:t>|</m:t>
              </m:r>
              <m:r>
                <m:t>A</m:t>
              </m:r>
              <m:r>
                <m:rPr>
                  <m:sty m:val="p"/>
                </m:rPr>
                <m:t>=</m:t>
              </m:r>
              <m:r>
                <m:t>0</m:t>
              </m:r>
              <m:r>
                <m:rPr>
                  <m:sty m:val="p"/>
                </m:rPr>
                <m:t>,</m:t>
              </m:r>
              <m:r>
                <m:t>L</m:t>
              </m:r>
            </m:e>
          </m:d>
          <m:r>
            <m:rPr>
              <m:sty m:val="p"/>
            </m:rPr>
            <m:t>=</m:t>
          </m:r>
          <m:r>
            <m:t>P</m:t>
          </m:r>
          <m:r>
            <m:t>r</m:t>
          </m:r>
          <m:d>
            <m:dPr>
              <m:begChr m:val="["/>
              <m:sepChr m:val=""/>
              <m:endChr m:val="]"/>
              <m:grow/>
            </m:dPr>
            <m:e>
              <m:sSup>
                <m:e>
                  <m:r>
                    <m:t>Y</m:t>
                  </m:r>
                </m:e>
                <m:sup>
                  <m:r>
                    <m:t>a</m:t>
                  </m:r>
                </m:sup>
              </m:sSup>
              <m:r>
                <m:rPr>
                  <m:sty m:val="p"/>
                </m:rPr>
                <m:t>=</m:t>
              </m:r>
              <m:r>
                <m:t>1</m:t>
              </m:r>
              <m:r>
                <m:rPr>
                  <m:sty m:val="p"/>
                </m:rPr>
                <m:t>|</m:t>
              </m:r>
              <m:r>
                <m:t>L</m:t>
              </m:r>
            </m:e>
          </m:d>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25" w:name="exchangeability-and-confounding"/>
    <w:p>
      <w:pPr>
        <w:pStyle w:val="Heading3"/>
      </w:pPr>
      <w:r>
        <w:t xml:space="preserve">2.1 Exchangeability and Confounding</w:t>
      </w:r>
    </w:p>
    <w:p>
      <w:pPr>
        <w:pStyle w:val="FirstParagraph"/>
      </w:pPr>
      <w:r>
        <w:rPr>
          <w:b/>
          <w:bCs/>
        </w:rPr>
        <w:t xml:space="preserve">Confounding</w:t>
      </w:r>
      <w:r>
        <w:t xml:space="preserve"> </w:t>
      </w:r>
      <w:r>
        <w:t xml:space="preserve">is the absence of exchangeability. When exchangeability fails, comparing treated and untreated groups yields a biased estimate of the causal effect.</w:t>
      </w:r>
    </w:p>
    <w:bookmarkStart w:id="24"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t>P</m:t>
          </m:r>
          <m:r>
            <m:t>r</m:t>
          </m:r>
          <m:d>
            <m:dPr>
              <m:begChr m:val="["/>
              <m:sepChr m:val=""/>
              <m:endChr m:val="]"/>
              <m:grow/>
            </m:dPr>
            <m:e>
              <m:sSup>
                <m:e>
                  <m:r>
                    <m:t>Y</m:t>
                  </m:r>
                </m:e>
                <m:sup>
                  <m:r>
                    <m:t>a</m:t>
                  </m:r>
                  <m:r>
                    <m:rPr>
                      <m:sty m:val="p"/>
                    </m:rPr>
                    <m:t>=</m:t>
                  </m:r>
                  <m:r>
                    <m:t>1</m:t>
                  </m:r>
                </m:sup>
              </m:sSup>
              <m:r>
                <m:rPr>
                  <m:sty m:val="p"/>
                </m:rPr>
                <m:t>=</m:t>
              </m:r>
              <m:r>
                <m:t>1</m:t>
              </m:r>
              <m:r>
                <m:rPr>
                  <m:sty m:val="p"/>
                </m:rPr>
                <m:t>|</m:t>
              </m:r>
              <m:r>
                <m:t>A</m:t>
              </m:r>
              <m:r>
                <m:rPr>
                  <m:sty m:val="p"/>
                </m:rPr>
                <m:t>=</m:t>
              </m:r>
              <m:r>
                <m:t>1</m:t>
              </m:r>
            </m:e>
          </m:d>
          <m:r>
            <m:rPr>
              <m:sty m:val="p"/>
            </m:rPr>
            <m:t>≠</m:t>
          </m:r>
          <m:r>
            <m:t>P</m:t>
          </m:r>
          <m:r>
            <m:t>r</m:t>
          </m:r>
          <m:d>
            <m:dPr>
              <m:begChr m:val="["/>
              <m:sepChr m:val=""/>
              <m:endChr m:val="]"/>
              <m:grow/>
            </m:dPr>
            <m:e>
              <m:sSup>
                <m:e>
                  <m:r>
                    <m:t>Y</m:t>
                  </m:r>
                </m:e>
                <m:sup>
                  <m:r>
                    <m:t>a</m:t>
                  </m:r>
                  <m:r>
                    <m:rPr>
                      <m:sty m:val="p"/>
                    </m:rPr>
                    <m:t>=</m:t>
                  </m:r>
                  <m:r>
                    <m:t>1</m:t>
                  </m:r>
                </m:sup>
              </m:sSup>
              <m:r>
                <m:rPr>
                  <m:sty m:val="p"/>
                </m:rPr>
                <m:t>=</m:t>
              </m:r>
              <m:r>
                <m:t>1</m:t>
              </m:r>
              <m:r>
                <m:rPr>
                  <m:sty m:val="p"/>
                </m:rPr>
                <m:t>|</m:t>
              </m:r>
              <m:r>
                <m:t>A</m:t>
              </m:r>
              <m:r>
                <m:rPr>
                  <m:sty m:val="p"/>
                </m:rPr>
                <m:t>=</m:t>
              </m:r>
              <m:r>
                <m:t>0</m:t>
              </m:r>
            </m:e>
          </m:d>
        </m:oMath>
      </m:oMathPara>
    </w:p>
    <w:p>
      <w:pPr>
        <w:pStyle w:val="FirstParagraph"/>
      </w:pPr>
      <w:r>
        <w:t xml:space="preserve">The potential outcome under smoking is not independent of actual smoking status. The treated (smokers) are not exchangeable with the untreated (non-smokers).</w:t>
      </w:r>
    </w:p>
    <w:bookmarkEnd w:id="24"/>
    <w:bookmarkEnd w:id="25"/>
    <w:bookmarkStart w:id="26"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26"/>
    <w:bookmarkEnd w:id="27"/>
    <w:bookmarkStart w:id="31" w:name="positivity-pp.-29-30"/>
    <w:p>
      <w:pPr>
        <w:pStyle w:val="Heading2"/>
      </w:pPr>
      <w:r>
        <w:t xml:space="preserve">3 3.3 Positivity (pp. 29-30)</w:t>
      </w:r>
    </w:p>
    <w:p>
      <w:r>
        <w:pict>
          <v:rect style="width:0;height:1.5pt" o:hralign="center" o:hrstd="t" o:hr="t"/>
        </w:pic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bookmarkStart w:id="28" w:name="def-positivity"/>
    <w:p>
      <w:pPr>
        <w:pStyle w:val="BodyText"/>
      </w:pPr>
      <w:r>
        <w:rPr>
          <w:b/>
          <w:bCs/>
        </w:rPr>
        <w:t xml:space="preserve">Definition 3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t>P</m:t>
        </m:r>
        <m:r>
          <m:t>r</m:t>
        </m:r>
        <m:d>
          <m:dPr>
            <m:begChr m:val="["/>
            <m:sepChr m:val=""/>
            <m:endChr m:val="]"/>
            <m:grow/>
          </m:dPr>
          <m:e>
            <m:r>
              <m:t>L</m:t>
            </m:r>
          </m:e>
        </m:d>
        <m:r>
          <m:rPr>
            <m:sty m:val="p"/>
          </m:rPr>
          <m:t>&gt;</m:t>
        </m:r>
        <m:r>
          <m:t>0</m:t>
        </m:r>
      </m:oMath>
      <w:r>
        <w:t xml:space="preserve">:</w:t>
      </w:r>
    </w:p>
    <w:p>
      <w:pPr>
        <w:pStyle w:val="BodyText"/>
      </w:pPr>
      <m:oMathPara>
        <m:oMathParaPr>
          <m:jc m:val="center"/>
        </m:oMathParaPr>
        <m:oMath>
          <m:r>
            <m:t>P</m:t>
          </m:r>
          <m:r>
            <m:t>r</m:t>
          </m:r>
          <m:d>
            <m:dPr>
              <m:begChr m:val="["/>
              <m:sepChr m:val=""/>
              <m:endChr m:val="]"/>
              <m:grow/>
            </m:dPr>
            <m:e>
              <m:r>
                <m:t>A</m:t>
              </m:r>
              <m:r>
                <m:rPr>
                  <m:sty m:val="p"/>
                </m:rPr>
                <m:t>=</m:t>
              </m:r>
              <m:r>
                <m:t>a</m:t>
              </m:r>
              <m:r>
                <m:rPr>
                  <m:sty m:val="p"/>
                </m:rPr>
                <m:t>|</m:t>
              </m:r>
              <m:r>
                <m:t>L</m:t>
              </m:r>
            </m:e>
          </m:d>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28"/>
    <w:bookmarkStart w:id="30"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bookmarkStart w:id="29"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t>P</m:t>
          </m:r>
          <m:r>
            <m:t>r</m:t>
          </m:r>
          <m:d>
            <m:dPr>
              <m:begChr m:val="["/>
              <m:sepChr m:val=""/>
              <m:endChr m:val="]"/>
              <m:grow/>
            </m:dPr>
            <m:e>
              <m:r>
                <m:t>A</m:t>
              </m:r>
              <m:r>
                <m:rPr>
                  <m:sty m:val="p"/>
                </m:rPr>
                <m:t>=</m:t>
              </m:r>
              <m:r>
                <m:t>1</m:t>
              </m:r>
              <m:r>
                <m:rPr>
                  <m:sty m:val="p"/>
                </m:rPr>
                <m:t>|</m:t>
              </m:r>
              <m:r>
                <m:rPr>
                  <m:nor/>
                  <m:sty m:val="p"/>
                </m:rPr>
                <m:t>Age</m:t>
              </m:r>
              <m:r>
                <m:rPr>
                  <m:sty m:val="p"/>
                </m:rPr>
                <m:t>=</m:t>
              </m:r>
              <m:r>
                <m:t>90</m:t>
              </m:r>
            </m:e>
          </m:d>
          <m:r>
            <m:rPr>
              <m:sty m:val="p"/>
            </m:rPr>
            <m:t>=</m:t>
          </m:r>
          <m:r>
            <m:t>0</m:t>
          </m:r>
        </m:oMath>
      </m:oMathPara>
    </w:p>
    <w:p>
      <w:pPr>
        <w:pStyle w:val="FirstParagraph"/>
      </w:pPr>
      <w:r>
        <w:t xml:space="preserve">We cannot estimate</w:t>
      </w:r>
      <w:r>
        <w:t xml:space="preserve"> </w:t>
      </w:r>
      <m:oMath>
        <m:r>
          <m:t>E</m:t>
        </m:r>
        <m:d>
          <m:dPr>
            <m:begChr m:val="["/>
            <m:sepChr m:val=""/>
            <m:endChr m:val="]"/>
            <m:grow/>
          </m:dPr>
          <m:e>
            <m:sSup>
              <m:e>
                <m:r>
                  <m:t>Y</m:t>
                </m:r>
              </m:e>
              <m:sup>
                <m:r>
                  <m:t>a</m:t>
                </m:r>
                <m:r>
                  <m:rPr>
                    <m:sty m:val="p"/>
                  </m:rPr>
                  <m:t>=</m:t>
                </m:r>
                <m:r>
                  <m:t>1</m:t>
                </m:r>
              </m:sup>
            </m:sSup>
            <m:r>
              <m:rPr>
                <m:sty m:val="p"/>
              </m:rPr>
              <m:t>|</m:t>
            </m:r>
            <m:r>
              <m:rPr>
                <m:nor/>
                <m:sty m:val="p"/>
              </m:rPr>
              <m:t>Age</m:t>
            </m:r>
            <m:r>
              <m:rPr>
                <m:sty m:val="p"/>
              </m:rPr>
              <m:t>=</m:t>
            </m:r>
            <m:r>
              <m:t>90</m:t>
            </m:r>
          </m:e>
        </m:d>
      </m:oMath>
      <w:r>
        <w:t xml:space="preserve"> </w:t>
      </w:r>
      <w:r>
        <w:t xml:space="preserve">from the data because we have no treated 90-year-olds to observe.</w:t>
      </w:r>
    </w:p>
    <w:bookmarkEnd w:id="29"/>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t>P</m:t>
        </m:r>
        <m:r>
          <m:t>r</m:t>
        </m:r>
        <m:d>
          <m:dPr>
            <m:begChr m:val="["/>
            <m:sepChr m:val=""/>
            <m:endChr m:val="]"/>
            <m:grow/>
          </m:dPr>
          <m:e>
            <m:r>
              <m:t>A</m:t>
            </m:r>
            <m:r>
              <m:rPr>
                <m:sty m:val="p"/>
              </m:rPr>
              <m:t>=</m:t>
            </m:r>
            <m:r>
              <m:t>a</m:t>
            </m:r>
            <m:r>
              <m:rPr>
                <m:sty m:val="p"/>
              </m:rPr>
              <m:t>|</m:t>
            </m:r>
            <m:r>
              <m:t>L</m:t>
            </m:r>
          </m:e>
        </m:d>
      </m:oMath>
      <w:r>
        <w:t xml:space="preserve"> </w:t>
      </w:r>
      <w:r>
        <w:t xml:space="preserve">is very close to 0 or 1) can also cause problems, leading to unstable estimates with large variance.</w:t>
      </w:r>
    </w:p>
    <w:bookmarkEnd w:id="30"/>
    <w:bookmarkEnd w:id="31"/>
    <w:bookmarkStart w:id="35" w:name="X1f240d6f3bf2cf9a7a3871c9e7585343853ea4a"/>
    <w:p>
      <w:pPr>
        <w:pStyle w:val="Heading2"/>
      </w:pPr>
      <w:r>
        <w:t xml:space="preserve">4 3.4 Consistency: First, Define the Counterfactual Outcome (pp. 30-32)</w:t>
      </w:r>
    </w:p>
    <w:p>
      <w:r>
        <w:pict>
          <v:rect style="width:0;height:1.5pt" o:hralign="center" o:hrstd="t" o:hr="t"/>
        </w:pic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bookmarkStart w:id="32" w:name="def-consistency"/>
    <w:p>
      <w:pPr>
        <w:pStyle w:val="BodyText"/>
      </w:pPr>
      <w:r>
        <w:rPr>
          <w:b/>
          <w:bCs/>
        </w:rPr>
        <w:t xml:space="preserve">Definition 4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32"/>
    <w:bookmarkStart w:id="34"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bookmarkStart w:id="33"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33"/>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34"/>
    <w:bookmarkEnd w:id="35"/>
    <w:bookmarkStart w:id="39" w:name="X20b0742d5c353ed836228ba4fa4ba247908c090"/>
    <w:p>
      <w:pPr>
        <w:pStyle w:val="Heading2"/>
      </w:pPr>
      <w:r>
        <w:t xml:space="preserve">5 3.5 Consistency: Second, Link Counterfactuals to Observed Data (pp. 32-34)</w:t>
      </w:r>
    </w:p>
    <w:p>
      <w:r>
        <w:pict>
          <v:rect style="width:0;height:1.5pt" o:hralign="center" o:hrstd="t" o:hr="t"/>
        </w:pic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bookmarkStart w:id="37" w:name="no-interference"/>
    <w:p>
      <w:pPr>
        <w:pStyle w:val="Heading3"/>
      </w:pPr>
      <w:r>
        <w:t xml:space="preserve">5.1 No Interference</w:t>
      </w:r>
    </w:p>
    <w:p>
      <w:pPr>
        <w:pStyle w:val="FirstParagraph"/>
      </w:pP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bookmarkStart w:id="36"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36"/>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End w:id="37"/>
    <w:bookmarkStart w:id="38" w:name="temporal-consistency"/>
    <w:p>
      <w:pPr>
        <w:pStyle w:val="Heading3"/>
      </w:pPr>
      <w:r>
        <w:t xml:space="preserve">5.2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38"/>
    <w:bookmarkEnd w:id="39"/>
    <w:bookmarkStart w:id="44" w:name="the-target-trial-pp.-34-36"/>
    <w:p>
      <w:pPr>
        <w:pStyle w:val="Heading2"/>
      </w:pPr>
      <w:r>
        <w:t xml:space="preserve">6 3.6 The Target Trial (pp. 34-36)</w:t>
      </w:r>
    </w:p>
    <w:p>
      <w:r>
        <w:pict>
          <v:rect style="width:0;height:1.5pt" o:hralign="center" o:hrstd="t" o:hr="t"/>
        </w:pic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bookmarkStart w:id="40" w:name="def-target-trial"/>
    <w:p>
      <w:pPr>
        <w:pStyle w:val="BodyText"/>
      </w:pPr>
      <w:r>
        <w:rPr>
          <w:b/>
          <w:bCs/>
        </w:rPr>
        <w:t xml:space="preserve">Definition 5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40"/>
    <w:bookmarkStart w:id="41"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41"/>
    <w:bookmarkStart w:id="43" w:name="X6fe384597d9f8447dce47bfd3876580064caa9f"/>
    <w:p>
      <w:pPr>
        <w:pStyle w:val="Heading3"/>
      </w:pPr>
      <w:r>
        <w:t xml:space="preserve">6.2 Example: Target Trial for Statins and Cardiovascular Disease</w:t>
      </w:r>
    </w:p>
    <w:bookmarkStart w:id="42" w:name="exm-target-trial"/>
    <w:p>
      <w:pPr>
        <w:pStyle w:val="FirstParagraph"/>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42"/>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43"/>
    <w:bookmarkEnd w:id="44"/>
    <w:bookmarkStart w:id="45" w:name="summary"/>
    <w:p>
      <w:pPr>
        <w:pStyle w:val="Heading2"/>
      </w:pPr>
      <w:r>
        <w:t xml:space="preserve">7 Summary</w:t>
      </w:r>
    </w:p>
    <w:p>
      <w:r>
        <w:pict>
          <v:rect style="width:0;height:1.5pt" o:hralign="center" o:hrstd="t" o:hr="t"/>
        </w:pic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t>P</m:t>
        </m:r>
        <m:r>
          <m:t>r</m:t>
        </m:r>
        <m:d>
          <m:dPr>
            <m:begChr m:val="["/>
            <m:sepChr m:val=""/>
            <m:endChr m:val="]"/>
            <m:grow/>
          </m:dPr>
          <m:e>
            <m:r>
              <m:t>A</m:t>
            </m:r>
            <m:r>
              <m:rPr>
                <m:sty m:val="p"/>
              </m:rPr>
              <m:t>=</m:t>
            </m:r>
            <m:r>
              <m:t>a</m:t>
            </m:r>
            <m:r>
              <m:rPr>
                <m:sty m:val="p"/>
              </m:rPr>
              <m:t>|</m:t>
            </m:r>
            <m:r>
              <m:t>L</m:t>
            </m:r>
          </m:e>
        </m:d>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45"/>
    <w:bookmarkStart w:id="49" w:name="references"/>
    <w:p>
      <w:pPr>
        <w:pStyle w:val="Heading2"/>
      </w:pPr>
      <w:r>
        <w:t xml:space="preserve">8 References</w:t>
      </w:r>
    </w:p>
    <w:p>
      <w:r>
        <w:pict>
          <v:rect style="width:0;height:1.5pt" o:hralign="center" o:hrstd="t" o:hr="t"/>
        </w:pict>
      </w:r>
    </w:p>
    <w:bookmarkStart w:id="48" w:name="refs"/>
    <w:bookmarkStart w:id="47"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46">
        <w:r>
          <w:rPr>
            <w:rStyle w:val="Hyperlink"/>
          </w:rPr>
          <w:t xml:space="preserve">https://miguelhernan.org/whatifbook</w:t>
        </w:r>
      </w:hyperlink>
      <w:r>
        <w:t xml:space="preserve">.</w:t>
      </w:r>
    </w:p>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2026-01-10T11:27:30Z</dcterms:created>
  <dcterms:modified xsi:type="dcterms:W3CDTF">2026-01-10T11:27:30Z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