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r>
        <w:t xml:space="preserve"> </w:t>
      </w:r>
      <w:r>
        <w:t xml:space="preserve">- Evaluating combination therapies</w:t>
      </w:r>
      <w:r>
        <w:t xml:space="preserve"> </w:t>
      </w:r>
      <w:r>
        <w:t xml:space="preserve">- Understanding synergistic or antagonistic effects</w:t>
      </w:r>
      <w:r>
        <w:t xml:space="preserve"> </w:t>
      </w:r>
      <w:r>
        <w:t xml:space="preserve">- Designing multi-component interventions</w:t>
      </w:r>
    </w:p>
    <w:p>
      <w:pPr>
        <w:pStyle w:val="BodyText"/>
      </w:pPr>
      <w:r>
        <w:t xml:space="preserve">This chapter is based on</w:t>
      </w:r>
      <w:r>
        <w:t xml:space="preserve"> </w:t>
      </w:r>
      <w:r>
        <w:t xml:space="preserve">Hernán and Robins (2020, chap. 5, pp. 47-58)</w:t>
      </w:r>
      <w:r>
        <w:t xml:space="preserve">.</w:t>
      </w:r>
    </w:p>
    <w:bookmarkStart w:id="25" w:name="Xbf068369dc8234d22997083619e4719bd8f8498"/>
    <w:p>
      <w:pPr>
        <w:pStyle w:val="Heading2"/>
      </w:pPr>
      <w:r>
        <w:t xml:space="preserve">1 5.1 Interaction Requires a Joint Intervention (pp. 47-49)</w: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20" w:name="notation-for-two-treatments"/>
    <w:p>
      <w:pPr>
        <w:pStyle w:val="Heading3"/>
      </w:pPr>
      <w:r>
        <w:t xml:space="preserve">1.1 Notation for Two Treatments</w:t>
      </w:r>
    </w:p>
    <w:p>
      <w:pPr>
        <w:pStyle w:val="FirstParagraph"/>
      </w:pPr>
      <w:r>
        <w:t xml:space="preserve">Suppose we have two binary treatments:</w:t>
      </w:r>
      <w:r>
        <w:t xml:space="preserve"> </w:t>
      </w:r>
      <w:r>
        <w:t xml:space="preserve">-</w:t>
      </w:r>
      <w:r>
        <w:t xml:space="preserve"> </w:t>
      </w:r>
      <m:oMath>
        <m:r>
          <m:t>A</m:t>
        </m:r>
      </m:oMath>
      <w:r>
        <w:t xml:space="preserve">: First treatment (e.g., aspirin), with levels 0 or 1</w:t>
      </w:r>
      <w:r>
        <w:t xml:space="preserve"> </w:t>
      </w:r>
      <w:r>
        <w:t xml:space="preserve">-</w:t>
      </w:r>
      <w:r>
        <w:t xml:space="preserve"> </w:t>
      </w:r>
      <m:oMath>
        <m:r>
          <m:t>E</m:t>
        </m:r>
      </m:oMath>
      <w:r>
        <w:t xml:space="preserve">: Second treatment (e.g., blood pressure medication), with levels 0 or 1</w:t>
      </w:r>
    </w:p>
    <w:p>
      <w:pPr>
        <w:pStyle w:val="BodyText"/>
      </w:pPr>
      <w:r>
        <w:t xml:space="preserve">This creates four possible treatment combinations:</w:t>
      </w:r>
      <w:r>
        <w:t xml:space="preserve"> </w:t>
      </w:r>
      <w:r>
        <w:t xml:space="preserve">1.</w:t>
      </w:r>
      <w:r>
        <w:t xml:space="preserve"> </w:t>
      </w:r>
      <m:oMath>
        <m:d>
          <m:dPr>
            <m:begChr m:val="("/>
            <m:sepChr m:val=""/>
            <m:endChr m:val=")"/>
            <m:grow/>
          </m:dPr>
          <m:e>
            <m:r>
              <m:t>A</m:t>
            </m:r>
            <m:r>
              <m:rPr>
                <m:sty m:val="p"/>
              </m:rPr>
              <m:t>=</m:t>
            </m:r>
            <m:r>
              <m:t>0</m:t>
            </m:r>
            <m:r>
              <m:rPr>
                <m:sty m:val="p"/>
              </m:rPr>
              <m:t>,</m:t>
            </m:r>
            <m:r>
              <m:t>E</m:t>
            </m:r>
            <m:r>
              <m:rPr>
                <m:sty m:val="p"/>
              </m:rPr>
              <m:t>=</m:t>
            </m:r>
            <m:r>
              <m:t>0</m:t>
            </m:r>
          </m:e>
        </m:d>
      </m:oMath>
      <w:r>
        <w:t xml:space="preserve">: Neither treatment</w:t>
      </w:r>
      <w:r>
        <w:t xml:space="preserve"> </w:t>
      </w:r>
      <w:r>
        <w:t xml:space="preserve">2.</w:t>
      </w:r>
      <w:r>
        <w:t xml:space="preserve"> </w:t>
      </w:r>
      <m:oMath>
        <m:d>
          <m:dPr>
            <m:begChr m:val="("/>
            <m:sepChr m:val=""/>
            <m:endChr m:val=")"/>
            <m:grow/>
          </m:dPr>
          <m:e>
            <m:r>
              <m:t>A</m:t>
            </m:r>
            <m:r>
              <m:rPr>
                <m:sty m:val="p"/>
              </m:rPr>
              <m:t>=</m:t>
            </m:r>
            <m:r>
              <m:t>1</m:t>
            </m:r>
            <m:r>
              <m:rPr>
                <m:sty m:val="p"/>
              </m:rPr>
              <m:t>,</m:t>
            </m:r>
            <m:r>
              <m:t>E</m:t>
            </m:r>
            <m:r>
              <m:rPr>
                <m:sty m:val="p"/>
              </m:rPr>
              <m:t>=</m:t>
            </m:r>
            <m:r>
              <m:t>0</m:t>
            </m:r>
          </m:e>
        </m:d>
      </m:oMath>
      <w:r>
        <w:t xml:space="preserve">: Aspirin only</w:t>
      </w:r>
      <w:r>
        <w:t xml:space="preserve"> </w:t>
      </w:r>
      <w:r>
        <w:t xml:space="preserve">3.</w:t>
      </w:r>
      <w:r>
        <w:t xml:space="preserve"> </w:t>
      </w:r>
      <m:oMath>
        <m:d>
          <m:dPr>
            <m:begChr m:val="("/>
            <m:sepChr m:val=""/>
            <m:endChr m:val=")"/>
            <m:grow/>
          </m:dPr>
          <m:e>
            <m:r>
              <m:t>A</m:t>
            </m:r>
            <m:r>
              <m:rPr>
                <m:sty m:val="p"/>
              </m:rPr>
              <m:t>=</m:t>
            </m:r>
            <m:r>
              <m:t>0</m:t>
            </m:r>
            <m:r>
              <m:rPr>
                <m:sty m:val="p"/>
              </m:rPr>
              <m:t>,</m:t>
            </m:r>
            <m:r>
              <m:t>E</m:t>
            </m:r>
            <m:r>
              <m:rPr>
                <m:sty m:val="p"/>
              </m:rPr>
              <m:t>=</m:t>
            </m:r>
            <m:r>
              <m:t>1</m:t>
            </m:r>
          </m:e>
        </m:d>
      </m:oMath>
      <w:r>
        <w:t xml:space="preserve">: Blood pressure medication only</w:t>
      </w:r>
      <w:r>
        <w:br/>
      </w:r>
      <w:r>
        <w:t xml:space="preserve">4.</w:t>
      </w:r>
      <w:r>
        <w:t xml:space="preserve"> </w:t>
      </w:r>
      <m:oMath>
        <m:d>
          <m:dPr>
            <m:begChr m:val="("/>
            <m:sepChr m:val=""/>
            <m:endChr m:val=")"/>
            <m:grow/>
          </m:dPr>
          <m:e>
            <m:r>
              <m:t>A</m:t>
            </m:r>
            <m:r>
              <m:rPr>
                <m:sty m:val="p"/>
              </m:rPr>
              <m:t>=</m:t>
            </m:r>
            <m:r>
              <m:t>1</m:t>
            </m:r>
            <m:r>
              <m:rPr>
                <m:sty m:val="p"/>
              </m:rPr>
              <m:t>,</m:t>
            </m:r>
            <m:r>
              <m:t>E</m:t>
            </m:r>
            <m:r>
              <m:rPr>
                <m:sty m:val="p"/>
              </m:rPr>
              <m:t>=</m:t>
            </m:r>
            <m:r>
              <m:t>1</m:t>
            </m:r>
          </m:e>
        </m:d>
      </m:oMath>
      <w:r>
        <w:t xml:space="preserve">: Both treatments</w:t>
      </w:r>
    </w:p>
    <w:p>
      <w:pPr>
        <w:pStyle w:val="BodyText"/>
      </w:pPr>
      <w:r>
        <w:t xml:space="preserve">For each individual, we have four counterfactual outcomes:</w:t>
      </w:r>
      <w:r>
        <w:t xml:space="preserve"> </w:t>
      </w:r>
      <w:r>
        <w:t xml:space="preserve">-</w:t>
      </w:r>
      <w:r>
        <w:t xml:space="preserve"> </w:t>
      </w:r>
      <m:oMath>
        <m:sSup>
          <m:e>
            <m:r>
              <m:t>Y</m:t>
            </m:r>
          </m:e>
          <m:sup>
            <m:r>
              <m:t>a</m:t>
            </m:r>
            <m:r>
              <m:rPr>
                <m:sty m:val="p"/>
              </m:rPr>
              <m:t>=</m:t>
            </m:r>
            <m:r>
              <m:t>0</m:t>
            </m:r>
            <m:r>
              <m:rPr>
                <m:sty m:val="p"/>
              </m:rPr>
              <m:t>,</m:t>
            </m:r>
            <m:r>
              <m:t>e</m:t>
            </m:r>
            <m:r>
              <m:rPr>
                <m:sty m:val="p"/>
              </m:rPr>
              <m:t>=</m:t>
            </m:r>
            <m:r>
              <m:t>0</m:t>
            </m:r>
          </m:sup>
        </m:sSup>
      </m:oMath>
      <w:r>
        <w:t xml:space="preserve">: Outcome if neither treatment received</w:t>
      </w:r>
      <w:r>
        <w:t xml:space="preserve"> </w:t>
      </w:r>
      <w:r>
        <w:t xml:space="preserve">-</w:t>
      </w:r>
      <w:r>
        <w:t xml:space="preserve"> </w:t>
      </w: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r>
        <w:t xml:space="preserve"> </w:t>
      </w:r>
      <w:r>
        <w:t xml:space="preserve">-</w:t>
      </w:r>
      <w:r>
        <w:t xml:space="preserve"> </w:t>
      </w: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r>
        <w:t xml:space="preserve"> </w:t>
      </w:r>
      <w:r>
        <w:t xml:space="preserve">-</w:t>
      </w:r>
      <w:r>
        <w:t xml:space="preserve"> </w:t>
      </w: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BodyText"/>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20"/>
    <w:bookmarkStart w:id="22" w:name="definition-of-interaction"/>
    <w:p>
      <w:pPr>
        <w:pStyle w:val="Heading3"/>
      </w:pPr>
      <w:r>
        <w:t xml:space="preserve">1.2 Definition of Interaction</w:t>
      </w:r>
    </w:p>
    <w:bookmarkStart w:id="21"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21"/>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r>
        <w:t xml:space="preserve"> </w:t>
      </w:r>
      <w:r>
        <w:t xml:space="preserve">- 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r>
        <w:t xml:space="preserve"> </w:t>
      </w:r>
      <w:r>
        <w:t xml:space="preserve">- 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r>
        <w:t xml:space="preserve"> </w:t>
      </w:r>
      <w:r>
        <w:t xml:space="preserve">- 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BodyText"/>
      </w:pPr>
      <w:r>
        <w:rPr>
          <w:b/>
          <w:bCs/>
        </w:rPr>
        <w:t xml:space="preserve">Important distinction</w:t>
      </w:r>
      <w:r>
        <w:t xml:space="preserve">:</w:t>
      </w:r>
      <w:r>
        <w:t xml:space="preserve"> </w:t>
      </w:r>
      <w:r>
        <w:t xml:space="preserve">-</w:t>
      </w:r>
      <w:r>
        <w:t xml:space="preserve"> </w:t>
      </w: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r>
        <w:t xml:space="preserve"> </w:t>
      </w:r>
      <w:r>
        <w:t xml:space="preserve">-</w:t>
      </w:r>
      <w:r>
        <w:t xml:space="preserve"> </w:t>
      </w: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BodyText"/>
      </w:pPr>
      <w:r>
        <w:t xml:space="preserve">Effect modification involves one treatment and one baseline covariate; interaction involves two (or more) treatments.</w:t>
      </w:r>
    </w:p>
    <w:bookmarkEnd w:id="22"/>
    <w:bookmarkStart w:id="24" w:name="X901d5386f66054a648038aefd77024f717d79a2"/>
    <w:p>
      <w:pPr>
        <w:pStyle w:val="Heading3"/>
      </w:pPr>
      <w:r>
        <w:t xml:space="preserve">1.3 Example: Interaction Between Aspirin and Exercise</w:t>
      </w:r>
    </w:p>
    <w:bookmarkStart w:id="23"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r>
        <w:t xml:space="preserve"> </w:t>
      </w:r>
      <w:r>
        <w:t xml:space="preserve">- Effect of aspirin (without exercise):</w:t>
      </w:r>
      <w:r>
        <w:t xml:space="preserve"> </w:t>
      </w:r>
      <m:oMath>
        <m:r>
          <m:t>0.25</m:t>
        </m:r>
        <m:r>
          <m:rPr>
            <m:sty m:val="p"/>
          </m:rPr>
          <m:t>−</m:t>
        </m:r>
        <m:r>
          <m:t>0.30</m:t>
        </m:r>
        <m:r>
          <m:rPr>
            <m:sty m:val="p"/>
          </m:rPr>
          <m:t>=</m:t>
        </m:r>
        <m:r>
          <m:rPr>
            <m:sty m:val="p"/>
          </m:rPr>
          <m:t>−</m:t>
        </m:r>
        <m:r>
          <m:t>0.05</m:t>
        </m:r>
      </m:oMath>
      <w:r>
        <w:t xml:space="preserve"> </w:t>
      </w:r>
      <w:r>
        <w:t xml:space="preserve">- Effect of exercise (without aspirin):</w:t>
      </w:r>
      <w:r>
        <w:t xml:space="preserve"> </w:t>
      </w:r>
      <m:oMath>
        <m:r>
          <m:t>0.20</m:t>
        </m:r>
        <m:r>
          <m:rPr>
            <m:sty m:val="p"/>
          </m:rPr>
          <m:t>−</m:t>
        </m:r>
        <m:r>
          <m:t>0.30</m:t>
        </m:r>
        <m:r>
          <m:rPr>
            <m:sty m:val="p"/>
          </m:rPr>
          <m:t>=</m:t>
        </m:r>
        <m:r>
          <m:rPr>
            <m:sty m:val="p"/>
          </m:rPr>
          <m:t>−</m:t>
        </m:r>
        <m:r>
          <m:t>0.10</m:t>
        </m:r>
      </m:oMath>
      <w:r>
        <w:t xml:space="preserve"> </w:t>
      </w:r>
      <w:r>
        <w:t xml:space="preserve">- Sum of individual effects:</w:t>
      </w:r>
      <w:r>
        <w:t xml:space="preserve"> </w:t>
      </w:r>
      <m:oMath>
        <m:r>
          <m:rPr>
            <m:sty m:val="p"/>
          </m:rPr>
          <m:t>−</m:t>
        </m:r>
        <m:r>
          <m:t>0.05</m:t>
        </m:r>
        <m:r>
          <m:rPr>
            <m:sty m:val="p"/>
          </m:rPr>
          <m:t>+</m:t>
        </m:r>
        <m:d>
          <m:dPr>
            <m:begChr m:val="("/>
            <m:sepChr m:val=""/>
            <m:endChr m:val=")"/>
            <m:grow/>
          </m:dPr>
          <m:e>
            <m:r>
              <m:rPr>
                <m:sty m:val="p"/>
              </m:rPr>
              <m:t>−</m:t>
            </m:r>
            <m:r>
              <m:t>0.10</m:t>
            </m:r>
          </m:e>
        </m:d>
        <m:r>
          <m:rPr>
            <m:sty m:val="p"/>
          </m:rPr>
          <m:t>=</m:t>
        </m:r>
        <m:r>
          <m:rPr>
            <m:sty m:val="p"/>
          </m:rPr>
          <m:t>−</m:t>
        </m:r>
        <m:r>
          <m:t>0.15</m:t>
        </m:r>
      </m:oMath>
    </w:p>
    <w:p>
      <w:pPr>
        <w:pStyle w:val="BodyText"/>
      </w:pPr>
      <w:r>
        <w:rPr>
          <w:b/>
          <w:bCs/>
        </w:rPr>
        <w:t xml:space="preserve">Joint effect</w:t>
      </w:r>
      <w:r>
        <w:t xml:space="preserve">:</w:t>
      </w:r>
      <w:r>
        <w:t xml:space="preserve"> </w:t>
      </w:r>
      <w:r>
        <w:t xml:space="preserve">-</w:t>
      </w:r>
      <w:r>
        <w:t xml:space="preserve"> </w:t>
      </w:r>
      <m:oMath>
        <m:r>
          <m:t>0.10</m:t>
        </m:r>
        <m:r>
          <m:rPr>
            <m:sty m:val="p"/>
          </m:rPr>
          <m:t>−</m:t>
        </m:r>
        <m:r>
          <m:t>0.30</m:t>
        </m:r>
        <m:r>
          <m:rPr>
            <m:sty m:val="p"/>
          </m:rPr>
          <m:t>=</m:t>
        </m:r>
        <m:r>
          <m:rPr>
            <m:sty m:val="p"/>
          </m:rPr>
          <m:t>−</m:t>
        </m:r>
        <m:r>
          <m:t>0.20</m:t>
        </m:r>
      </m:oMath>
    </w:p>
    <w:p>
      <w:pPr>
        <w:pStyle w:val="BodyText"/>
      </w:pPr>
      <w:r>
        <w:rPr>
          <w:b/>
          <w:bCs/>
        </w:rPr>
        <w:t xml:space="preserve">Interaction contrast</w:t>
      </w:r>
      <w:r>
        <w:t xml:space="preserve">:</w:t>
      </w:r>
      <w:r>
        <w:t xml:space="preserve"> </w:t>
      </w:r>
      <w:r>
        <w:t xml:space="preserve">-</w:t>
      </w:r>
      <w:r>
        <w:t xml:space="preserve"> </w:t>
      </w:r>
      <m:oMath>
        <m:r>
          <m:rPr>
            <m:nor/>
            <m:sty m:val="p"/>
          </m:rPr>
          <m:t>IC</m:t>
        </m:r>
        <m:r>
          <m:rPr>
            <m:sty m:val="p"/>
          </m:rPr>
          <m:t>=</m:t>
        </m:r>
        <m:r>
          <m:rPr>
            <m:sty m:val="p"/>
          </m:rPr>
          <m:t>−</m:t>
        </m:r>
        <m:r>
          <m:t>0.20</m:t>
        </m:r>
        <m:r>
          <m:rPr>
            <m:sty m:val="p"/>
          </m:rPr>
          <m:t>−</m:t>
        </m:r>
        <m:d>
          <m:dPr>
            <m:begChr m:val="("/>
            <m:sepChr m:val=""/>
            <m:endChr m:val=")"/>
            <m:grow/>
          </m:dPr>
          <m:e>
            <m:r>
              <m:rPr>
                <m:sty m:val="p"/>
              </m:rPr>
              <m:t>−</m:t>
            </m:r>
            <m:r>
              <m:t>0.15</m:t>
            </m:r>
          </m:e>
        </m:d>
        <m:r>
          <m:rPr>
            <m:sty m:val="p"/>
          </m:rPr>
          <m:t>=</m:t>
        </m:r>
        <m:r>
          <m:rPr>
            <m:sty m:val="p"/>
          </m:rPr>
          <m:t>−</m:t>
        </m:r>
        <m:r>
          <m:t>0.05</m:t>
        </m:r>
      </m:oMath>
    </w:p>
    <w:p>
      <w:pPr>
        <w:pStyle w:val="BodyText"/>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23"/>
    <w:p>
      <w:pPr>
        <w:pStyle w:val="BodyText"/>
      </w:pPr>
      <w:r>
        <w:rPr>
          <w:b/>
          <w:bCs/>
        </w:rPr>
        <w:t xml:space="preserve">Confusion about signs</w:t>
      </w:r>
      <w:r>
        <w:t xml:space="preserve">: The sign of the interaction contrast depends on the coding of the outcome:</w:t>
      </w:r>
      <w:r>
        <w:t xml:space="preserve"> </w:t>
      </w:r>
      <w:r>
        <w:t xml:space="preserve">- If higher</w:t>
      </w:r>
      <w:r>
        <w:t xml:space="preserve"> </w:t>
      </w:r>
      <m:oMath>
        <m:r>
          <m:t>Y</m:t>
        </m:r>
      </m:oMath>
      <w:r>
        <w:t xml:space="preserve"> </w:t>
      </w:r>
      <w:r>
        <w:t xml:space="preserve">is worse (e.g., risk of disease), negative IC means synergistic benefit</w:t>
      </w:r>
      <w:r>
        <w:t xml:space="preserve"> </w:t>
      </w:r>
      <w:r>
        <w:t xml:space="preserve">- If higher</w:t>
      </w:r>
      <w:r>
        <w:t xml:space="preserve"> </w:t>
      </w:r>
      <m:oMath>
        <m:r>
          <m:t>Y</m:t>
        </m:r>
      </m:oMath>
      <w:r>
        <w:t xml:space="preserve"> </w:t>
      </w:r>
      <w:r>
        <w:t xml:space="preserve">is better (e.g., recovery), positive IC means synergistic benefit</w:t>
      </w:r>
    </w:p>
    <w:p>
      <w:pPr>
        <w:pStyle w:val="BodyText"/>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r>
        <w:t xml:space="preserve"> </w:t>
      </w:r>
      <w:r>
        <w:t xml:space="preserve">-</w:t>
      </w:r>
      <w:r>
        <w:t xml:space="preserve"> </w:t>
      </w: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d>
          <m:dPr>
            <m:begChr m:val="|"/>
            <m:sepChr m:val=""/>
            <m:endChr m:val="|"/>
            <m:grow/>
          </m:dPr>
          <m:e>
            <m:r>
              <m:rPr>
                <m:nor/>
                <m:sty m:val="p"/>
              </m:rPr>
              <m:t>Joint effect</m:t>
            </m:r>
          </m:e>
        </m:d>
        <m:r>
          <m:rPr>
            <m:sty m:val="p"/>
          </m:rPr>
          <m:t>&gt;</m:t>
        </m:r>
        <m:d>
          <m:dPr>
            <m:begChr m:val="|"/>
            <m:sepChr m:val=""/>
            <m:endChr m:val="|"/>
            <m:grow/>
          </m:dPr>
          <m:e>
            <m:r>
              <m:rPr>
                <m:nor/>
                <m:sty m:val="p"/>
              </m:rPr>
              <m:t>Sum of individual effects</m:t>
            </m:r>
          </m:e>
        </m:d>
      </m:oMath>
      <w:r>
        <w:t xml:space="preserve"> </w:t>
      </w:r>
      <w:r>
        <w:t xml:space="preserve">-</w:t>
      </w:r>
      <w:r>
        <w:t xml:space="preserve"> </w:t>
      </w: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d>
          <m:dPr>
            <m:begChr m:val="|"/>
            <m:sepChr m:val=""/>
            <m:endChr m:val="|"/>
            <m:grow/>
          </m:dPr>
          <m:e>
            <m:r>
              <m:rPr>
                <m:nor/>
                <m:sty m:val="p"/>
              </m:rPr>
              <m:t>Joint effect</m:t>
            </m:r>
          </m:e>
        </m:d>
        <m:r>
          <m:rPr>
            <m:sty m:val="p"/>
          </m:rPr>
          <m:t>&lt;</m:t>
        </m:r>
        <m:d>
          <m:dPr>
            <m:begChr m:val="|"/>
            <m:sepChr m:val=""/>
            <m:endChr m:val="|"/>
            <m:grow/>
          </m:dPr>
          <m:e>
            <m:r>
              <m:rPr>
                <m:nor/>
                <m:sty m:val="p"/>
              </m:rPr>
              <m:t>Sum of individual effects</m:t>
            </m:r>
          </m:e>
        </m:d>
      </m:oMath>
    </w:p>
    <w:bookmarkEnd w:id="24"/>
    <w:bookmarkEnd w:id="25"/>
    <w:bookmarkStart w:id="28" w:name="identifying-interaction-pp.-49-51"/>
    <w:p>
      <w:pPr>
        <w:pStyle w:val="Heading2"/>
      </w:pPr>
      <w:r>
        <w:t xml:space="preserve">2 5.2 Identifying Interaction (pp. 49-51)</w:t>
      </w:r>
    </w:p>
    <w:p>
      <w:pPr>
        <w:pStyle w:val="FirstParagraph"/>
      </w:pPr>
      <w:r>
        <w:t xml:space="preserve">To identify interaction from observed data, we need the three identifiability conditions introduced in Chapter 3:</w:t>
      </w:r>
    </w:p>
    <w:bookmarkStart w:id="26" w:name="X2affd1a012bc51d0bd9337697295539a3c6b208"/>
    <w:p>
      <w:pPr>
        <w:pStyle w:val="Heading3"/>
      </w:pPr>
      <w:r>
        <w:t xml:space="preserve">2.1 Identifiability Conditions for Interaction</w:t>
      </w:r>
    </w:p>
    <w:p>
      <w:pPr>
        <w:numPr>
          <w:ilvl w:val="0"/>
          <w:numId w:val="1001"/>
        </w:numPr>
      </w:pPr>
      <w:r>
        <w:rPr>
          <w:b/>
          <w:bCs/>
        </w:rPr>
        <w:t xml:space="preserve">Exchangeability</w:t>
      </w:r>
      <w:r>
        <w:t xml:space="preserve"> </w:t>
      </w:r>
      <w:r>
        <w:t xml:space="preserve">for the joint treatment</w:t>
      </w:r>
      <w:r>
        <w:t xml:space="preserve"> </w:t>
      </w:r>
      <m:oMath>
        <m:d>
          <m:dPr>
            <m:begChr m:val="("/>
            <m:sepChr m:val=""/>
            <m:endChr m:val=")"/>
            <m:grow/>
          </m:dPr>
          <m:e>
            <m:r>
              <m:t>A</m:t>
            </m:r>
            <m:r>
              <m:rPr>
                <m:sty m:val="p"/>
              </m:rPr>
              <m:t>,</m:t>
            </m:r>
            <m:r>
              <m:t>E</m:t>
            </m:r>
          </m:e>
        </m:d>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d>
            <m:dPr>
              <m:begChr m:val="("/>
              <m:sepChr m:val=""/>
              <m:endChr m:val=")"/>
              <m:grow/>
            </m:dPr>
            <m:e>
              <m:r>
                <m:t>A</m:t>
              </m:r>
              <m:r>
                <m:rPr>
                  <m:sty m:val="p"/>
                </m:rPr>
                <m:t>,</m:t>
              </m:r>
              <m:r>
                <m:t>E</m:t>
              </m:r>
            </m:e>
          </m:d>
          <m:r>
            <m:t> </m:t>
          </m:r>
          <m:r>
            <m:rPr>
              <m:nor/>
              <m:sty m:val="p"/>
            </m:rPr>
            <m:t>for all </m:t>
          </m:r>
          <m:d>
            <m:dPr>
              <m:begChr m:val="("/>
              <m:sepChr m:val=""/>
              <m:endChr m:val=")"/>
              <m:grow/>
            </m:dPr>
            <m:e>
              <m:r>
                <m:t>a</m:t>
              </m:r>
              <m:r>
                <m:rPr>
                  <m:sty m:val="p"/>
                </m:rPr>
                <m:t>,</m:t>
              </m:r>
              <m:r>
                <m:t>e</m:t>
              </m:r>
            </m:e>
          </m:d>
        </m:oMath>
      </m:oMathPara>
    </w:p>
    <w:p>
      <w:pPr>
        <w:numPr>
          <w:ilvl w:val="0"/>
          <w:numId w:val="1001"/>
        </w:numPr>
      </w:pPr>
      <w:r>
        <w:rPr>
          <w:b/>
          <w:bCs/>
        </w:rPr>
        <w:t xml:space="preserve">Positivity</w:t>
      </w:r>
      <w:r>
        <w:t xml:space="preserve"> </w:t>
      </w:r>
      <w:r>
        <w:t xml:space="preserve">for the joint treatment:</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E</m:t>
              </m:r>
              <m:r>
                <m:rPr>
                  <m:sty m:val="p"/>
                </m:rPr>
                <m:t>=</m:t>
              </m:r>
              <m:r>
                <m:t>e</m:t>
              </m:r>
            </m:e>
          </m:d>
          <m:r>
            <m:rPr>
              <m:sty m:val="p"/>
            </m:rPr>
            <m:t>&gt;</m:t>
          </m:r>
          <m:r>
            <m:t>0</m:t>
          </m:r>
          <m:r>
            <m:t> </m:t>
          </m:r>
          <m:r>
            <m:rPr>
              <m:nor/>
              <m:sty m:val="p"/>
            </m:rPr>
            <m:t>for all </m:t>
          </m:r>
          <m:d>
            <m:dPr>
              <m:begChr m:val="("/>
              <m:sepChr m:val=""/>
              <m:endChr m:val=")"/>
              <m:grow/>
            </m:dPr>
            <m:e>
              <m:r>
                <m:t>a</m:t>
              </m:r>
              <m:r>
                <m:rPr>
                  <m:sty m:val="p"/>
                </m:rPr>
                <m:t>,</m:t>
              </m:r>
              <m:r>
                <m:t>e</m:t>
              </m:r>
            </m:e>
          </m:d>
        </m:oMath>
      </m:oMathPara>
    </w:p>
    <w:p>
      <w:pPr>
        <w:numPr>
          <w:ilvl w:val="0"/>
          <w:numId w:val="100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d>
          <m:dPr>
            <m:begChr m:val="("/>
            <m:sepChr m:val=""/>
            <m:endChr m:val=")"/>
            <m:grow/>
          </m:dPr>
          <m:e>
            <m:r>
              <m:t>A</m:t>
            </m:r>
            <m:r>
              <m:rPr>
                <m:sty m:val="p"/>
              </m:rPr>
              <m:t>,</m:t>
            </m:r>
            <m:r>
              <m:t>E</m:t>
            </m:r>
          </m:e>
        </m:d>
      </m:oMath>
      <w:r>
        <w:t xml:space="preserve"> </w:t>
      </w:r>
      <w:r>
        <w:t xml:space="preserve">as a single joint treatment with four levels:</w:t>
      </w:r>
      <w:r>
        <w:t xml:space="preserve"> </w:t>
      </w:r>
      <m:oMath>
        <m:d>
          <m:dPr>
            <m:begChr m:val="("/>
            <m:sepChr m:val=""/>
            <m:endChr m:val=")"/>
            <m:grow/>
          </m:dPr>
          <m:e>
            <m:r>
              <m:t>0</m:t>
            </m:r>
            <m:r>
              <m:rPr>
                <m:sty m:val="p"/>
              </m:rPr>
              <m:t>,</m:t>
            </m:r>
            <m:r>
              <m:t>0</m:t>
            </m:r>
          </m:e>
        </m:d>
        <m:r>
          <m:rPr>
            <m:sty m:val="p"/>
          </m:rPr>
          <m:t>,</m:t>
        </m:r>
        <m:d>
          <m:dPr>
            <m:begChr m:val="("/>
            <m:sepChr m:val=""/>
            <m:endChr m:val=")"/>
            <m:grow/>
          </m:dPr>
          <m:e>
            <m:r>
              <m:t>1</m:t>
            </m:r>
            <m:r>
              <m:rPr>
                <m:sty m:val="p"/>
              </m:rPr>
              <m:t>,</m:t>
            </m:r>
            <m:r>
              <m:t>0</m:t>
            </m:r>
          </m:e>
        </m:d>
        <m:r>
          <m:rPr>
            <m:sty m:val="p"/>
          </m:rPr>
          <m:t>,</m:t>
        </m:r>
        <m:d>
          <m:dPr>
            <m:begChr m:val="("/>
            <m:sepChr m:val=""/>
            <m:endChr m:val=")"/>
            <m:grow/>
          </m:dPr>
          <m:e>
            <m:r>
              <m:t>0</m:t>
            </m:r>
            <m:r>
              <m:rPr>
                <m:sty m:val="p"/>
              </m:rPr>
              <m:t>,</m:t>
            </m:r>
            <m:r>
              <m:t>1</m:t>
            </m:r>
          </m:e>
        </m:d>
        <m:r>
          <m:rPr>
            <m:sty m:val="p"/>
          </m:rPr>
          <m:t>,</m:t>
        </m:r>
        <m:d>
          <m:dPr>
            <m:begChr m:val="("/>
            <m:sepChr m:val=""/>
            <m:endChr m:val=")"/>
            <m:grow/>
          </m:dPr>
          <m:e>
            <m:r>
              <m:t>1</m:t>
            </m:r>
            <m:r>
              <m:rPr>
                <m:sty m:val="p"/>
              </m:rPr>
              <m:t>,</m:t>
            </m:r>
            <m:r>
              <m:t>1</m:t>
            </m:r>
          </m:e>
        </m:d>
      </m:oMath>
      <w:r>
        <w:t xml:space="preserve">.</w:t>
      </w:r>
    </w:p>
    <w:p>
      <w:pPr>
        <w:pStyle w:val="BodyText"/>
      </w:pPr>
      <w:r>
        <w:rPr>
          <w:b/>
          <w:bCs/>
        </w:rPr>
        <w:t xml:space="preserve">Randomized experiments</w:t>
      </w:r>
      <w:r>
        <w:t xml:space="preserve">:</w:t>
      </w:r>
      <w:r>
        <w:t xml:space="preserve"> </w:t>
      </w:r>
      <w:r>
        <w:t xml:space="preserve">- 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r>
        <w:t xml:space="preserve"> </w:t>
      </w:r>
      <w:r>
        <w:t xml:space="preserve">- This is a</w:t>
      </w:r>
      <w:r>
        <w:t xml:space="preserve"> </w:t>
      </w:r>
      <w:r>
        <w:rPr>
          <w:b/>
          <w:bCs/>
        </w:rPr>
        <w:t xml:space="preserve">factorial design</w:t>
      </w:r>
      <w:r>
        <w:t xml:space="preserve">: randomize to all four combinations</w:t>
      </w:r>
      <w:r>
        <w:t xml:space="preserve"> </w:t>
      </w:r>
      <w:r>
        <w:t xml:space="preserve">- Allows unbiased estimation of interaction</w:t>
      </w:r>
    </w:p>
    <w:p>
      <w:pPr>
        <w:pStyle w:val="BodyText"/>
      </w:pPr>
      <w:r>
        <w:rPr>
          <w:b/>
          <w:bCs/>
        </w:rPr>
        <w:t xml:space="preserve">Observational studies</w:t>
      </w:r>
      <w:r>
        <w:t xml:space="preserve">:</w:t>
      </w:r>
      <w:r>
        <w:t xml:space="preserve"> </w:t>
      </w:r>
      <w:r>
        <w:t xml:space="preserve">- Must adjust for confounders of</w:t>
      </w:r>
      <w:r>
        <w:t xml:space="preserve"> </w:t>
      </w:r>
      <m:oMath>
        <m:d>
          <m:dPr>
            <m:begChr m:val="("/>
            <m:sepChr m:val=""/>
            <m:endChr m:val=")"/>
            <m:grow/>
          </m:dPr>
          <m:e>
            <m:r>
              <m:t>A</m:t>
            </m:r>
            <m:r>
              <m:rPr>
                <m:sty m:val="p"/>
              </m:rPr>
              <m:t>,</m:t>
            </m:r>
            <m:r>
              <m:t>E</m:t>
            </m:r>
          </m:e>
        </m:d>
      </m:oMath>
      <w:r>
        <w:t xml:space="preserve"> </w:t>
      </w:r>
      <w:r>
        <w:t xml:space="preserve">relationship with</w:t>
      </w:r>
      <w:r>
        <w:t xml:space="preserve"> </w:t>
      </w:r>
      <m:oMath>
        <m:r>
          <m:t>Y</m:t>
        </m:r>
      </m:oMath>
      <w:r>
        <w:t xml:space="preserve"> </w:t>
      </w:r>
      <w:r>
        <w:t xml:space="preserve">- This may include confounders of</w:t>
      </w:r>
      <w:r>
        <w:t xml:space="preserve"> </w:t>
      </w:r>
      <m:oMath>
        <m:r>
          <m:t>A</m:t>
        </m:r>
      </m:oMath>
      <w:r>
        <w:t xml:space="preserve">, confounders of</w:t>
      </w:r>
      <w:r>
        <w:t xml:space="preserve"> </w:t>
      </w:r>
      <m:oMath>
        <m:r>
          <m:t>E</m:t>
        </m:r>
      </m:oMath>
      <w:r>
        <w:t xml:space="preserve">, and confounders of their joint distribution</w:t>
      </w:r>
      <w:r>
        <w:t xml:space="preserve"> </w:t>
      </w:r>
      <w:r>
        <w:t xml:space="preserve">- Positivity requires that all four treatment combinations occur at all levels of confounders</w:t>
      </w:r>
    </w:p>
    <w:bookmarkEnd w:id="26"/>
    <w:bookmarkStart w:id="27"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d>
          <m:dPr>
            <m:begChr m:val="("/>
            <m:sepChr m:val=""/>
            <m:endChr m:val=")"/>
            <m:grow/>
          </m:dPr>
          <m:e>
            <m:r>
              <m:t>a</m:t>
            </m:r>
            <m:r>
              <m:rPr>
                <m:sty m:val="p"/>
              </m:rPr>
              <m:t>,</m:t>
            </m:r>
            <m:r>
              <m:t>e</m:t>
            </m:r>
          </m:e>
        </m:d>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27"/>
    <w:bookmarkEnd w:id="28"/>
    <w:bookmarkStart w:id="32" w:name="Xef21a2c584469d38b821fcc75ad481b442f5292"/>
    <w:p>
      <w:pPr>
        <w:pStyle w:val="Heading2"/>
      </w:pPr>
      <w:r>
        <w:t xml:space="preserve">3 5.3 Counterfactual Response Types and Interaction (pp. 51-53)</w: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29"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02"/>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02"/>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02"/>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02"/>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02"/>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03"/>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03"/>
        </w:numPr>
      </w:pPr>
      <w:r>
        <w:rPr>
          <w:b/>
          <w:bCs/>
        </w:rPr>
        <w:t xml:space="preserve">Redundant</w:t>
      </w:r>
      <w:r>
        <w:t xml:space="preserve"> </w:t>
      </w:r>
      <w:r>
        <w:t xml:space="preserve">types: Individuals who benefit from either treatment alone (treatments are substitutes)</w:t>
      </w:r>
    </w:p>
    <w:p>
      <w:pPr>
        <w:pStyle w:val="Compact"/>
        <w:numPr>
          <w:ilvl w:val="0"/>
          <w:numId w:val="1003"/>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29"/>
    <w:bookmarkStart w:id="31"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30" w:name="exm-response-types"/>
    <w:p>
      <w:pPr>
        <w:pStyle w:val="BodyText"/>
      </w:pPr>
      <w:r>
        <w:rPr>
          <w:b/>
          <w:bCs/>
        </w:rPr>
        <w:t xml:space="preserve">Example 2 (Response Types Example)</w:t>
      </w:r>
      <w:r>
        <w:t xml:space="preserve"> </w:t>
      </w:r>
      <w:r>
        <w:t xml:space="preserve">Suppose we have:</w:t>
      </w:r>
      <w:r>
        <w:t xml:space="preserve"> </w:t>
      </w:r>
      <w:r>
        <w:t xml:space="preserve">- 30% of population: Prevented only by</w:t>
      </w:r>
      <w:r>
        <w:t xml:space="preserve"> </w:t>
      </w:r>
      <m:oMath>
        <m:r>
          <m:t>A</m:t>
        </m:r>
      </m:oMath>
      <w:r>
        <w:t xml:space="preserve"> </w:t>
      </w:r>
      <w:r>
        <w:t xml:space="preserve">- 20% of population: Prevented only by</w:t>
      </w:r>
      <w:r>
        <w:t xml:space="preserve"> </w:t>
      </w:r>
      <m:oMath>
        <m:r>
          <m:t>E</m:t>
        </m:r>
      </m:oMath>
      <w:r>
        <w:t xml:space="preserve"> </w:t>
      </w:r>
      <w:r>
        <w:t xml:space="preserve">- 10%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r>
        <w:t xml:space="preserve"> </w:t>
      </w:r>
      <w:r>
        <w:t xml:space="preserve">- 40% of population: Immune (never get disease)</w:t>
      </w:r>
    </w:p>
    <w:p>
      <w:pPr>
        <w:pStyle w:val="BodyText"/>
      </w:pPr>
      <w:r>
        <w:t xml:space="preserve">Then:</w:t>
      </w:r>
      <w:r>
        <w:t xml:space="preserve"> </w:t>
      </w:r>
      <w:r>
        <w:t xml:space="preserve">-</w:t>
      </w:r>
      <w:r>
        <w:t xml:space="preserve"> </w:t>
      </w:r>
      <m:oMath>
        <m: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r>
        <w:t xml:space="preserve"> </w:t>
      </w:r>
      <w:r>
        <w:t xml:space="preserve">-</w:t>
      </w:r>
      <w:r>
        <w:t xml:space="preserve"> </w:t>
      </w:r>
      <m:oMath>
        <m: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r>
        <w:t xml:space="preserve"> </w:t>
      </w:r>
      <w:r>
        <w:t xml:space="preserve">-</w:t>
      </w:r>
      <w:r>
        <w:t xml:space="preserve"> </w:t>
      </w:r>
      <m:oMath>
        <m: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r>
        <w:t xml:space="preserve"> </w:t>
      </w:r>
      <w:r>
        <w:t xml:space="preserve">-</w:t>
      </w:r>
      <w:r>
        <w:t xml:space="preserve"> </w:t>
      </w:r>
      <m:oMath>
        <m: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BodyText"/>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30"/>
    <w:p>
      <w:pPr>
        <w:pStyle w:val="BodyText"/>
      </w:pPr>
      <w:r>
        <w:t xml:space="preserve">This example illustrates that:</w:t>
      </w:r>
      <w:r>
        <w:t xml:space="preserve"> </w:t>
      </w:r>
      <w:r>
        <w:t xml:space="preserve">- Existence of synergistic response types does</w:t>
      </w:r>
      <w:r>
        <w:t xml:space="preserve"> </w:t>
      </w:r>
      <w:r>
        <w:rPr>
          <w:b/>
          <w:bCs/>
        </w:rPr>
        <w:t xml:space="preserve">not</w:t>
      </w:r>
      <w:r>
        <w:t xml:space="preserve"> </w:t>
      </w:r>
      <w:r>
        <w:t xml:space="preserve">guarantee additive interaction will be detected</w:t>
      </w:r>
      <w:r>
        <w:t xml:space="preserve"> </w:t>
      </w:r>
      <w:r>
        <w:t xml:space="preserve">- Interaction depends on the</w:t>
      </w:r>
      <w:r>
        <w:t xml:space="preserve"> </w:t>
      </w:r>
      <w:r>
        <w:rPr>
          <w:i/>
          <w:iCs/>
        </w:rPr>
        <w:t xml:space="preserve">prevalence</w:t>
      </w:r>
      <w:r>
        <w:t xml:space="preserve"> </w:t>
      </w:r>
      <w:r>
        <w:t xml:space="preserve">of different response types</w:t>
      </w:r>
      <w:r>
        <w:t xml:space="preserve"> </w:t>
      </w:r>
      <w:r>
        <w:t xml:space="preserve">- Different scales (additive vs. multiplicative) may reveal interaction even when others do not</w:t>
      </w:r>
    </w:p>
    <w:p>
      <w:pPr>
        <w:pStyle w:val="BodyText"/>
      </w:pPr>
      <w:r>
        <w:t xml:space="preserve">The response type framework provides a mechanistic interpretation of interaction but requires strong assumptions (monotonicity, no redundancy) to map cleanly onto observed interaction measures.</w:t>
      </w:r>
    </w:p>
    <w:bookmarkEnd w:id="31"/>
    <w:bookmarkEnd w:id="32"/>
    <w:bookmarkStart w:id="36" w:name="sufficient-causes-pp.-53-55"/>
    <w:p>
      <w:pPr>
        <w:pStyle w:val="Heading2"/>
      </w:pPr>
      <w:r>
        <w:t xml:space="preserve">4 5.4 Sufficient Causes (pp. 53-55)</w: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33"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33"/>
    <w:bookmarkStart w:id="35"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34"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34"/>
    <w:p>
      <w:pPr>
        <w:pStyle w:val="BodyText"/>
      </w:pPr>
      <w:r>
        <w:rPr>
          <w:b/>
          <w:bCs/>
        </w:rPr>
        <w:t xml:space="preserve">Key features of the sufficient cause model</w:t>
      </w:r>
      <w:r>
        <w:t xml:space="preserve">:</w:t>
      </w:r>
    </w:p>
    <w:p>
      <w:pPr>
        <w:numPr>
          <w:ilvl w:val="0"/>
          <w:numId w:val="1004"/>
        </w:numPr>
      </w:pPr>
      <w:r>
        <w:rPr>
          <w:b/>
          <w:bCs/>
        </w:rPr>
        <w:t xml:space="preserve">Deterministic</w:t>
      </w:r>
      <w:r>
        <w:t xml:space="preserve">: If all components of a sufficient cause are present, the outcome occurs with certainty (in this model)</w:t>
      </w:r>
    </w:p>
    <w:p>
      <w:pPr>
        <w:numPr>
          <w:ilvl w:val="0"/>
          <w:numId w:val="1004"/>
        </w:numPr>
      </w:pPr>
      <w:r>
        <w:rPr>
          <w:b/>
          <w:bCs/>
        </w:rPr>
        <w:t xml:space="preserve">Multiple sufficient causes</w:t>
      </w:r>
      <w:r>
        <w:t xml:space="preserve">: There may be many different ways to produce the same outcome</w:t>
      </w:r>
    </w:p>
    <w:p>
      <w:pPr>
        <w:numPr>
          <w:ilvl w:val="0"/>
          <w:numId w:val="1004"/>
        </w:numPr>
      </w:pPr>
      <w:r>
        <w:rPr>
          <w:b/>
          <w:bCs/>
        </w:rPr>
        <w:t xml:space="preserve">Complementary components</w:t>
      </w:r>
      <w:r>
        <w:t xml:space="preserve">: Within a sufficient cause, all components are necessary for that particular pathway to cause the outcome</w:t>
      </w:r>
    </w:p>
    <w:p>
      <w:pPr>
        <w:numPr>
          <w:ilvl w:val="0"/>
          <w:numId w:val="1004"/>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35"/>
    <w:bookmarkEnd w:id="36"/>
    <w:bookmarkStart w:id="40" w:name="sufficient-cause-interaction-pp.-55-57"/>
    <w:p>
      <w:pPr>
        <w:pStyle w:val="Heading2"/>
      </w:pPr>
      <w:r>
        <w:t xml:space="preserve">5 5.5 Sufficient Cause Interaction (pp. 55-57)</w:t>
      </w:r>
    </w:p>
    <w:p>
      <w:pPr>
        <w:pStyle w:val="FirstParagraph"/>
      </w:pPr>
      <w:r>
        <w:t xml:space="preserve">Within the sufficient cause framework, we can define a specific type of interaction:</w:t>
      </w:r>
    </w:p>
    <w:bookmarkStart w:id="37"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37"/>
    <w:bookmarkStart w:id="39"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r>
        <w:t xml:space="preserve"> </w:t>
      </w:r>
      <w:r>
        <w:t xml:space="preserve">- 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r>
        <w:t xml:space="preserve"> </w:t>
      </w:r>
      <w:r>
        <w:t xml:space="preserve">- 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r>
        <w:t xml:space="preserve"> </w:t>
      </w:r>
      <w:r>
        <w:t xml:space="preserve">- Therefore, the joint effect exceeds the sum of individual effects</w:t>
      </w:r>
    </w:p>
    <w:bookmarkStart w:id="38"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r>
        <w:t xml:space="preserve"> </w:t>
      </w:r>
      <w:r>
        <w:t xml:space="preserve">-</w:t>
      </w:r>
      <w:r>
        <w:t xml:space="preserve"> </w:t>
      </w: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r>
        <w:t xml:space="preserve"> </w:t>
      </w:r>
      <w:r>
        <w:t xml:space="preserve">-</w:t>
      </w:r>
      <w:r>
        <w:t xml:space="preserve"> </w:t>
      </w: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r>
        <w:t xml:space="preserve"> </w:t>
      </w:r>
      <w:r>
        <w:t xml:space="preserve">-</w:t>
      </w:r>
      <w:r>
        <w:t xml:space="preserve"> </w:t>
      </w: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r>
        <w:t xml:space="preserve"> </w:t>
      </w:r>
      <w:r>
        <w:t xml:space="preserve">-</w:t>
      </w:r>
      <w:r>
        <w:t xml:space="preserve"> </w:t>
      </w: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BodyText"/>
      </w:pPr>
      <w:r>
        <w:t xml:space="preserve">This is</w:t>
      </w:r>
      <w:r>
        <w:t xml:space="preserve"> </w:t>
      </w:r>
      <w:r>
        <w:rPr>
          <w:b/>
          <w:bCs/>
        </w:rPr>
        <w:t xml:space="preserve">pure synergism</w:t>
      </w:r>
      <w:r>
        <w:t xml:space="preserve">: neither treatment alone has an effect, but the combination does.</w:t>
      </w:r>
    </w:p>
    <w:bookmarkEnd w:id="38"/>
    <w:p>
      <w:pPr>
        <w:pStyle w:val="BodyText"/>
      </w:pPr>
      <w:r>
        <w:rPr>
          <w:b/>
          <w:bCs/>
        </w:rPr>
        <w:t xml:space="preserve">Relationship between sufficient cause interaction and causal interaction</w:t>
      </w:r>
      <w:r>
        <w:t xml:space="preserve">:</w:t>
      </w:r>
    </w:p>
    <w:p>
      <w:pPr>
        <w:numPr>
          <w:ilvl w:val="0"/>
          <w:numId w:val="1005"/>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05"/>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r>
        <w:t xml:space="preserve"> </w:t>
      </w:r>
      <w:r>
        <w:t xml:space="preserve">- Sufficient cause interaction (synergism) implies positive additive interaction in the population</w:t>
      </w:r>
      <w:r>
        <w:t xml:space="preserve"> </w:t>
      </w:r>
      <w:r>
        <w:rPr>
          <w:i/>
          <w:iCs/>
        </w:rPr>
        <w:t xml:space="preserve">if</w:t>
      </w:r>
      <w:r>
        <w:t xml:space="preserve"> </w:t>
      </w:r>
      <w:r>
        <w:t xml:space="preserve">the sufficient cause is common enough</w:t>
      </w:r>
      <w:r>
        <w:t xml:space="preserve"> </w:t>
      </w:r>
      <w:r>
        <w:t xml:space="preserve">- However, positive additive interaction can occur even without sufficient cause interaction (e.g., if treatments prevent the outcome via independent pathways but with different magnitudes)</w:t>
      </w:r>
    </w:p>
    <w:p>
      <w:pPr>
        <w:pStyle w:val="BodyText"/>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39"/>
    <w:bookmarkEnd w:id="40"/>
    <w:bookmarkStart w:id="43" w:name="Xc89e552d54ee2cf9354a1d14811aa7db5c689e2"/>
    <w:p>
      <w:pPr>
        <w:pStyle w:val="Heading2"/>
      </w:pPr>
      <w:r>
        <w:t xml:space="preserve">6 5.6 Counterfactuals or Sufficient-Component Causes? (pp. 57-58)</w:t>
      </w:r>
    </w:p>
    <w:p>
      <w:pPr>
        <w:pStyle w:val="FirstParagraph"/>
      </w:pPr>
      <w:r>
        <w:t xml:space="preserve">Should we use the counterfactual (potential outcomes) framework or the sufficient cause framework to study interaction?</w:t>
      </w:r>
    </w:p>
    <w:bookmarkStart w:id="41" w:name="Xc74e435c44ae86270f235fa5dd6995b63259798"/>
    <w:p>
      <w:pPr>
        <w:pStyle w:val="Heading3"/>
      </w:pPr>
      <w:r>
        <w:t xml:space="preserve">6.1 Advantages of the Counterfactual Framework</w:t>
      </w:r>
    </w:p>
    <w:p>
      <w:pPr>
        <w:pStyle w:val="Compact"/>
        <w:numPr>
          <w:ilvl w:val="0"/>
          <w:numId w:val="1006"/>
        </w:numPr>
      </w:pPr>
      <w:r>
        <w:rPr>
          <w:b/>
          <w:bCs/>
        </w:rPr>
        <w:t xml:space="preserve">More general</w:t>
      </w:r>
      <w:r>
        <w:t xml:space="preserve">: Applies to any outcome (binary, continuous, time-to-event) and any treatments</w:t>
      </w:r>
    </w:p>
    <w:p>
      <w:pPr>
        <w:pStyle w:val="Compact"/>
        <w:numPr>
          <w:ilvl w:val="0"/>
          <w:numId w:val="1006"/>
        </w:numPr>
      </w:pPr>
      <w:r>
        <w:rPr>
          <w:b/>
          <w:bCs/>
        </w:rPr>
        <w:t xml:space="preserve">Testable implications</w:t>
      </w:r>
      <w:r>
        <w:t xml:space="preserve">: Under identifiability conditions, interaction can be estimated from data</w:t>
      </w:r>
    </w:p>
    <w:p>
      <w:pPr>
        <w:pStyle w:val="Compact"/>
        <w:numPr>
          <w:ilvl w:val="0"/>
          <w:numId w:val="1006"/>
        </w:numPr>
      </w:pPr>
      <w:r>
        <w:rPr>
          <w:b/>
          <w:bCs/>
        </w:rPr>
        <w:t xml:space="preserve">Rigorous mathematical foundation</w:t>
      </w:r>
      <w:r>
        <w:t xml:space="preserve">: Clear notation and assumptions</w:t>
      </w:r>
    </w:p>
    <w:p>
      <w:pPr>
        <w:pStyle w:val="Compact"/>
        <w:numPr>
          <w:ilvl w:val="0"/>
          <w:numId w:val="1006"/>
        </w:numPr>
      </w:pPr>
      <w:r>
        <w:rPr>
          <w:b/>
          <w:bCs/>
        </w:rPr>
        <w:t xml:space="preserve">Connects to statistical methods</w:t>
      </w:r>
      <w:r>
        <w:t xml:space="preserve">: Directly links to regression, weighting, standardization</w:t>
      </w:r>
    </w:p>
    <w:bookmarkEnd w:id="41"/>
    <w:bookmarkStart w:id="42" w:name="X15a72dde30e8f578075826c5dcac9d4f2c6dcb8"/>
    <w:p>
      <w:pPr>
        <w:pStyle w:val="Heading3"/>
      </w:pPr>
      <w:r>
        <w:t xml:space="preserve">6.2 Advantages of the Sufficient Cause Framework</w:t>
      </w:r>
    </w:p>
    <w:p>
      <w:pPr>
        <w:pStyle w:val="Compact"/>
        <w:numPr>
          <w:ilvl w:val="0"/>
          <w:numId w:val="1007"/>
        </w:numPr>
      </w:pPr>
      <w:r>
        <w:rPr>
          <w:b/>
          <w:bCs/>
        </w:rPr>
        <w:t xml:space="preserve">Mechanistic intuition</w:t>
      </w:r>
      <w:r>
        <w:t xml:space="preserve">: Provides a way to think about biological/physical mechanisms</w:t>
      </w:r>
    </w:p>
    <w:p>
      <w:pPr>
        <w:pStyle w:val="Compact"/>
        <w:numPr>
          <w:ilvl w:val="0"/>
          <w:numId w:val="1007"/>
        </w:numPr>
      </w:pPr>
      <w:r>
        <w:rPr>
          <w:b/>
          <w:bCs/>
        </w:rPr>
        <w:t xml:space="preserve">Useful for binary outcomes</w:t>
      </w:r>
      <w:r>
        <w:t xml:space="preserve">: Particularly clear for presence/absence of disease</w:t>
      </w:r>
    </w:p>
    <w:p>
      <w:pPr>
        <w:pStyle w:val="Compact"/>
        <w:numPr>
          <w:ilvl w:val="0"/>
          <w:numId w:val="1007"/>
        </w:numPr>
      </w:pPr>
      <w:r>
        <w:rPr>
          <w:b/>
          <w:bCs/>
        </w:rPr>
        <w:t xml:space="preserve">Historical importance</w:t>
      </w:r>
      <w:r>
        <w:t xml:space="preserve">: Widely used in epidemiology</w:t>
      </w:r>
    </w:p>
    <w:p>
      <w:pPr>
        <w:pStyle w:val="Compact"/>
        <w:numPr>
          <w:ilvl w:val="0"/>
          <w:numId w:val="1007"/>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r>
        <w:t xml:space="preserve"> </w:t>
      </w:r>
      <w:r>
        <w:t xml:space="preserve">- Sufficient cause model makes strong untestable assumptions (determinism, completeness of sufficient causes)</w:t>
      </w:r>
      <w:r>
        <w:t xml:space="preserve"> </w:t>
      </w:r>
      <w:r>
        <w:t xml:space="preserve">- Counterfactual framework is more flexible and connects better to modern statistical methods</w:t>
      </w:r>
      <w:r>
        <w:t xml:space="preserve"> </w:t>
      </w:r>
      <w:r>
        <w:t xml:space="preserve">- Most interaction research is in the potential outcomes tradition</w:t>
      </w:r>
    </w:p>
    <w:p>
      <w:pPr>
        <w:pStyle w:val="BodyText"/>
      </w:pPr>
      <w:r>
        <w:rPr>
          <w:b/>
          <w:bCs/>
        </w:rPr>
        <w:t xml:space="preserve">When to use sufficient cause thinking?</w:t>
      </w:r>
      <w:r>
        <w:t xml:space="preserve"> </w:t>
      </w:r>
      <w:r>
        <w:t xml:space="preserve">- When seeking mechanistic explanations</w:t>
      </w:r>
      <w:r>
        <w:t xml:space="preserve"> </w:t>
      </w:r>
      <w:r>
        <w:t xml:space="preserve">- When biological synergism is the scientific question</w:t>
      </w:r>
      <w:r>
        <w:t xml:space="preserve"> </w:t>
      </w:r>
      <w:r>
        <w:t xml:space="preserve">- When teaching interaction to those unfamiliar with potential outcomes</w:t>
      </w:r>
      <w:r>
        <w:t xml:space="preserve"> </w:t>
      </w:r>
      <w:r>
        <w:t xml:space="preserve">- As a conceptual tool alongside formal potential outcomes analysis</w:t>
      </w:r>
    </w:p>
    <w:p>
      <w:pPr>
        <w:pStyle w:val="BodyText"/>
      </w:pPr>
      <w:r>
        <w:rPr>
          <w:b/>
          <w:bCs/>
        </w:rPr>
        <w:t xml:space="preserve">Integration</w:t>
      </w:r>
      <w:r>
        <w:t xml:space="preserve">: Many modern papers use potential outcomes for formal definitions and estimation, then discuss findings in terms of sufficient cause mechanisms.</w:t>
      </w:r>
    </w:p>
    <w:bookmarkEnd w:id="42"/>
    <w:bookmarkEnd w:id="43"/>
    <w:bookmarkStart w:id="44" w:name="summary"/>
    <w:p>
      <w:pPr>
        <w:pStyle w:val="Heading2"/>
      </w:pPr>
      <w:r>
        <w:t xml:space="preserve">7 Summary</w: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0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08"/>
        </w:numPr>
      </w:pPr>
      <w:r>
        <w:rPr>
          <w:b/>
          <w:bCs/>
        </w:rPr>
        <w:t xml:space="preserve">Identification</w:t>
      </w:r>
      <w:r>
        <w:t xml:space="preserve">: Requires exchangeability, positivity, and consistency for the joint treatment</w:t>
      </w:r>
      <w:r>
        <w:t xml:space="preserve"> </w:t>
      </w:r>
      <m:oMath>
        <m:d>
          <m:dPr>
            <m:begChr m:val="("/>
            <m:sepChr m:val=""/>
            <m:endChr m:val=")"/>
            <m:grow/>
          </m:dPr>
          <m:e>
            <m:r>
              <m:t>A</m:t>
            </m:r>
            <m:r>
              <m:rPr>
                <m:sty m:val="p"/>
              </m:rPr>
              <m:t>,</m:t>
            </m:r>
            <m:r>
              <m:t>E</m:t>
            </m:r>
          </m:e>
        </m:d>
      </m:oMath>
    </w:p>
    <w:p>
      <w:pPr>
        <w:numPr>
          <w:ilvl w:val="0"/>
          <w:numId w:val="1008"/>
        </w:numPr>
      </w:pPr>
      <w:r>
        <w:rPr>
          <w:b/>
          <w:bCs/>
        </w:rPr>
        <w:t xml:space="preserve">Response types</w:t>
      </w:r>
      <w:r>
        <w:t xml:space="preserve">: Interaction can be understood through the distribution of counterfactual response types in the population</w:t>
      </w:r>
    </w:p>
    <w:p>
      <w:pPr>
        <w:numPr>
          <w:ilvl w:val="0"/>
          <w:numId w:val="1008"/>
        </w:numPr>
      </w:pPr>
      <w:r>
        <w:rPr>
          <w:b/>
          <w:bCs/>
        </w:rPr>
        <w:t xml:space="preserve">Sufficient causes</w:t>
      </w:r>
      <w:r>
        <w:t xml:space="preserve">: The sufficient cause model provides a mechanistic framework where interaction corresponds to synergism</w:t>
      </w:r>
    </w:p>
    <w:p>
      <w:pPr>
        <w:numPr>
          <w:ilvl w:val="0"/>
          <w:numId w:val="1008"/>
        </w:numPr>
      </w:pPr>
      <w:r>
        <w:rPr>
          <w:b/>
          <w:bCs/>
        </w:rPr>
        <w:t xml:space="preserve">Frameworks</w:t>
      </w:r>
      <w:r>
        <w:t xml:space="preserve">: The counterfactual (potential outcomes) framework is recommended for formal analysis; sufficient causes provide mechanistic intuition</w:t>
      </w:r>
    </w:p>
    <w:p>
      <w:pPr>
        <w:numPr>
          <w:ilvl w:val="0"/>
          <w:numId w:val="100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r>
        <w:t xml:space="preserve"> </w:t>
      </w:r>
      <w:r>
        <w:t xml:space="preserve">-</w:t>
      </w:r>
      <w:r>
        <w:t xml:space="preserve"> </w:t>
      </w: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r>
        <w:t xml:space="preserve"> </w:t>
      </w:r>
      <w:r>
        <w:t xml:space="preserve">-</w:t>
      </w:r>
      <w:r>
        <w:t xml:space="preserve"> </w:t>
      </w: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BodyText"/>
      </w:pPr>
      <w:r>
        <w:rPr>
          <w:b/>
          <w:bCs/>
        </w:rPr>
        <w:t xml:space="preserve">Looking ahead</w:t>
      </w:r>
      <w:r>
        <w:t xml:space="preserve">:</w:t>
      </w:r>
      <w:r>
        <w:t xml:space="preserve"> </w:t>
      </w:r>
      <w:r>
        <w:t xml:space="preserve">-</w:t>
      </w:r>
      <w:r>
        <w:t xml:space="preserve"> </w:t>
      </w:r>
      <w:r>
        <w:rPr>
          <w:b/>
          <w:bCs/>
        </w:rPr>
        <w:t xml:space="preserve">Chapter 6</w:t>
      </w:r>
      <w:r>
        <w:t xml:space="preserve">: Causal diagrams provide graphical tools for understanding when and how to adjust for confounding</w:t>
      </w:r>
      <w:r>
        <w:t xml:space="preserve"> </w:t>
      </w:r>
      <w:r>
        <w:t xml:space="preserve">-</w:t>
      </w:r>
      <w:r>
        <w:t xml:space="preserve"> </w:t>
      </w:r>
      <w:r>
        <w:rPr>
          <w:b/>
          <w:bCs/>
        </w:rPr>
        <w:t xml:space="preserve">Chapter 7</w:t>
      </w:r>
      <w:r>
        <w:t xml:space="preserve">: Detailed treatment of confounding</w:t>
      </w:r>
      <w:r>
        <w:t xml:space="preserve"> </w:t>
      </w:r>
      <w:r>
        <w:t xml:space="preserve">-</w:t>
      </w:r>
      <w:r>
        <w:t xml:space="preserve"> </w:t>
      </w:r>
      <w:r>
        <w:rPr>
          <w:b/>
          <w:bCs/>
        </w:rPr>
        <w:t xml:space="preserve">Chapter 13</w:t>
      </w:r>
      <w:r>
        <w:t xml:space="preserve">: The g-formula provides a flexible method for estimating effects when both confounding and interaction are present</w:t>
      </w:r>
      <w:r>
        <w:t xml:space="preserve"> </w:t>
      </w:r>
      <w:r>
        <w:t xml:space="preserve">-</w:t>
      </w:r>
      <w:r>
        <w:t xml:space="preserve"> </w:t>
      </w:r>
      <w:r>
        <w:rPr>
          <w:b/>
          <w:bCs/>
        </w:rPr>
        <w:t xml:space="preserve">Chapter 14</w:t>
      </w:r>
      <w:r>
        <w:t xml:space="preserve">: G-estimation of structural nested models for treatment effect heterogeneity</w:t>
      </w:r>
    </w:p>
    <w:p>
      <w:pPr>
        <w:pStyle w:val="BodyText"/>
      </w:pPr>
      <w:r>
        <w:rPr>
          <w:b/>
          <w:bCs/>
        </w:rPr>
        <w:t xml:space="preserve">Practical takeaway</w:t>
      </w:r>
      <w:r>
        <w:t xml:space="preserve">:</w:t>
      </w:r>
      <w:r>
        <w:t xml:space="preserve"> </w:t>
      </w:r>
      <w:r>
        <w:t xml:space="preserve">- When studying combination therapies or multiple exposures, consider whether interaction exists</w:t>
      </w:r>
      <w:r>
        <w:t xml:space="preserve"> </w:t>
      </w:r>
      <w:r>
        <w:t xml:space="preserve">- Use factorial designs (randomize both treatments independently) when possible</w:t>
      </w:r>
      <w:r>
        <w:t xml:space="preserve"> </w:t>
      </w:r>
      <w:r>
        <w:t xml:space="preserve">- Report joint effects and interaction contrasts, not just main effects</w:t>
      </w:r>
      <w:r>
        <w:t xml:space="preserve"> </w:t>
      </w:r>
      <w:r>
        <w:t xml:space="preserve">- Interpret interaction in light of both statistical and mechanistic frameworks</w:t>
      </w:r>
    </w:p>
    <w:bookmarkEnd w:id="44"/>
    <w:bookmarkStart w:id="47" w:name="references"/>
    <w:p>
      <w:pPr>
        <w:pStyle w:val="Heading2"/>
      </w:pPr>
      <w:r>
        <w:t xml:space="preserve">8 References</w: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2026-01-08T18:52:43Z</dcterms:created>
  <dcterms:modified xsi:type="dcterms:W3CDTF">2026-01-08T18:52:43Z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