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2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0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0"/>
    <w:bookmarkStart w:id="11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1"/>
    <w:bookmarkEnd w:id="12"/>
    <w:bookmarkStart w:id="17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4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IP weighting for time-varying treatments is typically embedded 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</w:t>
      </w:r>
      <w:r>
        <w:t xml:space="preserve"> </w:t>
      </w:r>
      <w:r>
        <w:t xml:space="preserve">(MSM) for the counterfactual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parametric model (e.g., logistic or linear) indexed by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The MSM parameters are estimated by solving weighted estimating equations: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p>
      <w:pPr>
        <w:pStyle w:val="BodyText"/>
      </w:pPr>
      <w:r>
        <w:rPr>
          <w:b/>
          <w:bCs/>
        </w:rPr>
        <w:t xml:space="preserve">Weight truncation</w:t>
      </w:r>
      <w:r>
        <w:t xml:space="preserve">: A pragmatic approach to handle extreme weights</w:t>
      </w:r>
      <w:r>
        <w:t xml:space="preserve"> </w:t>
      </w:r>
      <w:r>
        <w:t xml:space="preserve">is to truncate (or</w:t>
      </w:r>
      <w:r>
        <w:t xml:space="preserve"> </w:t>
      </w:r>
      <w:r>
        <w:t xml:space="preserve">“trim”</w:t>
      </w:r>
      <w:r>
        <w:t xml:space="preserve">) them at a high percentile (e.g., 99th percentile).</w:t>
      </w:r>
      <w:r>
        <w:t xml:space="preserve"> </w:t>
      </w:r>
      <w:r>
        <w:t xml:space="preserve">Truncation introduces a small bias but can substantially reduce variance.</w:t>
      </w:r>
      <w:r>
        <w:t xml:space="preserve"> </w:t>
      </w:r>
      <w:r>
        <w:t xml:space="preserve">The analyst should report both truncated and untruncated results.</w:t>
      </w:r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4"/>
    <w:bookmarkStart w:id="16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3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6"/>
    <w:bookmarkEnd w:id="17"/>
    <w:bookmarkStart w:id="19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sup>
                        </m:sSup>
                      </m:e>
                    </m:d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19"/>
    <w:bookmarkStart w:id="23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5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0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(modifier)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modifier might be a baseline or time-varying covariate.</w:t>
      </w:r>
    </w:p>
    <w:bookmarkStart w:id="21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r>
        <w:t xml:space="preserve">The key insight behind g-estimation is that under sequential exchangeability,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blipped-down outcome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(the outcome with the effect of treatment from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onward</w:t>
      </w:r>
      <w:r>
        <w:t xml:space="preserve"> </w:t>
      </w:r>
      <w:r>
        <w:t xml:space="preserve">“removed”</w:t>
      </w:r>
      <w:r>
        <w:t xml:space="preserve">)</w:t>
      </w:r>
      <w:r>
        <w:t xml:space="preserve"> </w:t>
      </w:r>
      <w:r>
        <w:t xml:space="preserve">must be mean-independent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equals the true parameter.</w:t>
      </w:r>
      <w:r>
        <w:t xml:space="preserve"> </w:t>
      </w:r>
      <w:r>
        <w:t xml:space="preserve">G-estimation exploits this to 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searching for the value</w:t>
      </w:r>
      <w:r>
        <w:t xml:space="preserve"> </w:t>
      </w:r>
      <w:r>
        <w:t xml:space="preserve">that makes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Practically, this is often implemented via:</w:t>
      </w:r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1"/>
    <w:bookmarkStart w:id="22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r>
        <w:t xml:space="preserve">A related family of models,</w:t>
      </w:r>
      <w:r>
        <w:t xml:space="preserve"> </w:t>
      </w:r>
      <w:r>
        <w:rPr>
          <w:b/>
          <w:bCs/>
        </w:rPr>
        <w:t xml:space="preserve">rank-preserving structural failure time models</w:t>
      </w:r>
      <w:r>
        <w:t xml:space="preserve"> </w:t>
      </w:r>
      <w:r>
        <w:t xml:space="preserve">(RP-SFTMs),</w:t>
      </w:r>
      <w:r>
        <w:t xml:space="preserve"> </w:t>
      </w:r>
      <w:r>
        <w:t xml:space="preserve">extends g-estimation to survival outcomes.</w:t>
      </w:r>
      <w:r>
        <w:t xml:space="preserve"> </w:t>
      </w:r>
      <w:r>
        <w:t xml:space="preserve">The RP-SFTM posits that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accelerates or decelerates the failure time</w:t>
      </w:r>
      <w:r>
        <w:t xml:space="preserve"> </w:t>
      </w:r>
      <w:r>
        <w:t xml:space="preserve">by a multiplicable factor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t>ψ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g-estimation proceeds by finding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</w:t>
      </w:r>
      <w:r>
        <w:t xml:space="preserve"> </w:t>
      </w:r>
      <w:r>
        <w:t xml:space="preserve">“counterfactual failure time under no treatment”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history.</w:t>
      </w:r>
    </w:p>
    <w:bookmarkEnd w:id="22"/>
    <w:bookmarkEnd w:id="23"/>
    <w:bookmarkStart w:id="26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24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/>
          <w:bCs/>
        </w:rPr>
        <w:t xml:space="preserve">sequential censoring exchangeability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sup>
          </m:sSup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consistently estimates</w:t>
      </w:r>
      <w:r>
        <w:t xml:space="preserve"> </w:t>
      </w:r>
      <w:r>
        <w:t xml:space="preserve">the counterfactual mean in the uncensored pseudo-population.</w:t>
      </w:r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24"/>
    <w:bookmarkStart w:id="25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25"/>
    <w:bookmarkEnd w:id="26"/>
    <w:bookmarkStart w:id="29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6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27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28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28"/>
    <w:bookmarkEnd w:id="29"/>
    <w:bookmarkStart w:id="30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0"/>
    <w:bookmarkStart w:id="34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3" w:name="refs"/>
    <w:bookmarkStart w:id="3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2026-08-20T19:21:13Z</dcterms:created>
  <dcterms:modified xsi:type="dcterms:W3CDTF">2026-08-20T19:21:13Z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