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29AA0">
      <w:pPr>
        <w:pStyle w:val="2"/>
        <w:bidi w:val="0"/>
        <w:jc w:val="center"/>
        <w:rPr>
          <w:rFonts w:hint="default"/>
          <w:color w:val="auto"/>
        </w:rPr>
      </w:pPr>
      <w:bookmarkStart w:id="0" w:name="data-quality-report-dqr"/>
      <w:r>
        <w:rPr>
          <w:rFonts w:hint="default"/>
          <w:color w:val="auto"/>
        </w:rPr>
        <w:t>Data Quality Report (DQR)</w:t>
      </w:r>
    </w:p>
    <w:p w14:paraId="6989FA2C">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Dataset:</w:t>
      </w: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ppr-group-25208508-train.csv</w:t>
      </w:r>
      <w:r>
        <w:rPr>
          <w:rFonts w:hint="default" w:ascii="Times New Roman Regular" w:hAnsi="Times New Roman Regular" w:cs="Times New Roman Regular"/>
          <w:color w:val="auto"/>
          <w:sz w:val="22"/>
          <w:szCs w:val="22"/>
        </w:rPr>
        <w:br w:type="textWrapping"/>
      </w:r>
      <w:r>
        <w:rPr>
          <w:rFonts w:hint="default" w:ascii="Times New Roman Regular" w:hAnsi="Times New Roman Regular" w:cs="Times New Roman Regular"/>
          <w:b/>
          <w:bCs/>
          <w:color w:val="auto"/>
          <w:sz w:val="22"/>
          <w:szCs w:val="22"/>
        </w:rPr>
        <w:t>Module:</w:t>
      </w:r>
      <w:r>
        <w:rPr>
          <w:rFonts w:hint="default" w:ascii="Times New Roman Regular" w:hAnsi="Times New Roman Regular" w:cs="Times New Roman Regular"/>
          <w:color w:val="auto"/>
          <w:sz w:val="22"/>
          <w:szCs w:val="22"/>
        </w:rPr>
        <w:t xml:space="preserve"> COMP47350 Group Project - Part (1) DQR</w:t>
      </w:r>
      <w:r>
        <w:rPr>
          <w:rFonts w:hint="default" w:ascii="Times New Roman Regular" w:hAnsi="Times New Roman Regular" w:cs="Times New Roman Regular"/>
          <w:color w:val="auto"/>
          <w:sz w:val="22"/>
          <w:szCs w:val="22"/>
        </w:rPr>
        <w:br w:type="textWrapping"/>
      </w:r>
      <w:r>
        <w:rPr>
          <w:rFonts w:hint="default" w:ascii="Times New Roman Regular" w:hAnsi="Times New Roman Regular" w:cs="Times New Roman Regular"/>
          <w:b/>
          <w:bCs/>
          <w:color w:val="auto"/>
          <w:sz w:val="22"/>
          <w:szCs w:val="22"/>
        </w:rPr>
        <w:t>Scope:</w:t>
      </w:r>
      <w:r>
        <w:rPr>
          <w:rFonts w:hint="default" w:ascii="Times New Roman Regular" w:hAnsi="Times New Roman Regular" w:cs="Times New Roman Regular"/>
          <w:color w:val="auto"/>
          <w:sz w:val="22"/>
          <w:szCs w:val="22"/>
        </w:rPr>
        <w:t xml:space="preserve"> Data understanding, quality diagnosis, and action recommendations for downstream cleaning and modeling.</w:t>
      </w:r>
      <w:bookmarkStart w:id="46" w:name="_GoBack"/>
      <w:bookmarkEnd w:id="46"/>
    </w:p>
    <w:p w14:paraId="0885D09E">
      <w:pPr>
        <w:pStyle w:val="4"/>
        <w:rPr>
          <w:rFonts w:hint="default" w:ascii="Times New Roman Regular" w:hAnsi="Times New Roman Regular" w:cs="Times New Roman Regular"/>
          <w:color w:val="auto"/>
          <w:sz w:val="22"/>
          <w:szCs w:val="22"/>
        </w:rPr>
      </w:pPr>
      <w:bookmarkStart w:id="1" w:name="executive-summary"/>
      <w:r>
        <w:rPr>
          <w:rFonts w:hint="default" w:ascii="Times New Roman Regular" w:hAnsi="Times New Roman Regular" w:cs="Times New Roman Regular"/>
          <w:color w:val="auto"/>
          <w:sz w:val="22"/>
          <w:szCs w:val="22"/>
        </w:rPr>
        <w:t>1. Executive Summary</w:t>
      </w:r>
    </w:p>
    <w:p w14:paraId="2E398BC6">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This report presents a structured data quality assessment for the training dataset used in the residential property price prediction task. The objective is to identify quality risks that can affect statistical analysis and model robustness, then define practical actions for the next stage (Data Quality Plan, DQP).</w:t>
      </w:r>
    </w:p>
    <w:p w14:paraId="6DF405F9">
      <w:pPr>
        <w:pStyle w:val="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The dataset contains </w:t>
      </w:r>
      <w:r>
        <w:rPr>
          <w:rFonts w:hint="default" w:ascii="Times New Roman Regular" w:hAnsi="Times New Roman Regular" w:cs="Times New Roman Regular"/>
          <w:b/>
          <w:bCs/>
          <w:color w:val="auto"/>
          <w:sz w:val="22"/>
          <w:szCs w:val="22"/>
        </w:rPr>
        <w:t>54,000 rows and 9 columns</w:t>
      </w:r>
      <w:r>
        <w:rPr>
          <w:rFonts w:hint="default" w:ascii="Times New Roman Regular" w:hAnsi="Times New Roman Regular" w:cs="Times New Roman Regular"/>
          <w:color w:val="auto"/>
          <w:sz w:val="22"/>
          <w:szCs w:val="22"/>
        </w:rPr>
        <w:t>. At a high level, the data is usable but requires targeted handling in four critical areas:</w:t>
      </w:r>
    </w:p>
    <w:p w14:paraId="7769AD68">
      <w:pPr>
        <w:numPr>
          <w:ilvl w:val="0"/>
          <w:numId w:val="1"/>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High missingness</w:t>
      </w:r>
      <w:r>
        <w:rPr>
          <w:rFonts w:hint="default" w:ascii="Times New Roman Regular" w:hAnsi="Times New Roman Regular" w:cs="Times New Roman Regular"/>
          <w:color w:val="auto"/>
          <w:sz w:val="22"/>
          <w:szCs w:val="22"/>
        </w:rPr>
        <w:t xml:space="preserve"> in location/size-related fields (</w:t>
      </w:r>
      <w:r>
        <w:rPr>
          <w:rStyle w:val="35"/>
          <w:rFonts w:hint="default" w:ascii="Times New Roman Regular" w:hAnsi="Times New Roman Regular" w:cs="Times New Roman Regular"/>
          <w:color w:val="auto"/>
          <w:sz w:val="22"/>
          <w:szCs w:val="22"/>
        </w:rPr>
        <w:t>Eircode</w:t>
      </w: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Property Size Description</w:t>
      </w:r>
      <w:r>
        <w:rPr>
          <w:rFonts w:hint="default" w:ascii="Times New Roman Regular" w:hAnsi="Times New Roman Regular" w:cs="Times New Roman Regular"/>
          <w:color w:val="auto"/>
          <w:sz w:val="22"/>
          <w:szCs w:val="22"/>
        </w:rPr>
        <w:t>).</w:t>
      </w:r>
    </w:p>
    <w:p w14:paraId="0603EA4E">
      <w:pPr>
        <w:numPr>
          <w:ilvl w:val="0"/>
          <w:numId w:val="1"/>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High-cardinality text features</w:t>
      </w: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Address</w:t>
      </w: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Eircode</w:t>
      </w:r>
      <w:r>
        <w:rPr>
          <w:rFonts w:hint="default" w:ascii="Times New Roman Regular" w:hAnsi="Times New Roman Regular" w:cs="Times New Roman Regular"/>
          <w:color w:val="auto"/>
          <w:sz w:val="22"/>
          <w:szCs w:val="22"/>
        </w:rPr>
        <w:t>) that are not directly model-friendly.</w:t>
      </w:r>
    </w:p>
    <w:p w14:paraId="49204DD4">
      <w:pPr>
        <w:numPr>
          <w:ilvl w:val="0"/>
          <w:numId w:val="1"/>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Price outliers and heavy right skew</w:t>
      </w:r>
      <w:r>
        <w:rPr>
          <w:rFonts w:hint="default" w:ascii="Times New Roman Regular" w:hAnsi="Times New Roman Regular" w:cs="Times New Roman Regular"/>
          <w:color w:val="auto"/>
          <w:sz w:val="22"/>
          <w:szCs w:val="22"/>
        </w:rPr>
        <w:t>, which may destabilize model training.</w:t>
      </w:r>
    </w:p>
    <w:p w14:paraId="24213EE9">
      <w:pPr>
        <w:numPr>
          <w:ilvl w:val="0"/>
          <w:numId w:val="1"/>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4. </w:t>
      </w:r>
      <w:r>
        <w:rPr>
          <w:rFonts w:hint="default" w:ascii="Times New Roman Regular" w:hAnsi="Times New Roman Regular" w:cs="Times New Roman Regular"/>
          <w:b/>
          <w:bCs/>
          <w:color w:val="auto"/>
          <w:sz w:val="22"/>
          <w:szCs w:val="22"/>
        </w:rPr>
        <w:t>Small number of exact duplicates</w:t>
      </w:r>
      <w:r>
        <w:rPr>
          <w:rFonts w:hint="default" w:ascii="Times New Roman Regular" w:hAnsi="Times New Roman Regular" w:cs="Times New Roman Regular"/>
          <w:color w:val="auto"/>
          <w:sz w:val="22"/>
          <w:szCs w:val="22"/>
        </w:rPr>
        <w:t xml:space="preserve"> that should be removed for consistency.</w:t>
      </w:r>
    </w:p>
    <w:p w14:paraId="7466E1B2">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Core recommendation: preserve business signal while simplifying fragile raw fields through controlled feature engineering, robust target handling, and transparent step logging in DQP.</w:t>
      </w:r>
    </w:p>
    <w:bookmarkEnd w:id="1"/>
    <w:p w14:paraId="038A4609">
      <w:pPr>
        <w:pStyle w:val="4"/>
        <w:rPr>
          <w:rFonts w:hint="default" w:ascii="Times New Roman Regular" w:hAnsi="Times New Roman Regular" w:cs="Times New Roman Regular"/>
          <w:color w:val="auto"/>
          <w:sz w:val="22"/>
          <w:szCs w:val="22"/>
        </w:rPr>
      </w:pPr>
      <w:bookmarkStart w:id="2" w:name="dataset-overview"/>
      <w:r>
        <w:rPr>
          <w:rFonts w:hint="default" w:ascii="Times New Roman Regular" w:hAnsi="Times New Roman Regular" w:cs="Times New Roman Regular"/>
          <w:color w:val="auto"/>
          <w:sz w:val="22"/>
          <w:szCs w:val="22"/>
        </w:rPr>
        <w:t>2. Dataset Overview</w:t>
      </w:r>
    </w:p>
    <w:p w14:paraId="5F778BEE">
      <w:pPr>
        <w:pStyle w:val="5"/>
        <w:rPr>
          <w:rFonts w:hint="default" w:ascii="Times New Roman Regular" w:hAnsi="Times New Roman Regular" w:cs="Times New Roman Regular"/>
          <w:color w:val="auto"/>
          <w:sz w:val="22"/>
          <w:szCs w:val="22"/>
        </w:rPr>
      </w:pPr>
      <w:bookmarkStart w:id="3" w:name="shape-and-features"/>
      <w:r>
        <w:rPr>
          <w:rFonts w:hint="default" w:ascii="Times New Roman Regular" w:hAnsi="Times New Roman Regular" w:cs="Times New Roman Regular"/>
          <w:color w:val="auto"/>
          <w:sz w:val="22"/>
          <w:szCs w:val="22"/>
        </w:rPr>
        <w:t>2.1 Shape and Features</w:t>
      </w:r>
    </w:p>
    <w:p w14:paraId="474A67E7">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Rows: </w:t>
      </w:r>
      <w:r>
        <w:rPr>
          <w:rFonts w:hint="default" w:ascii="Times New Roman Regular" w:hAnsi="Times New Roman Regular" w:cs="Times New Roman Regular"/>
          <w:b/>
          <w:bCs/>
          <w:color w:val="auto"/>
          <w:sz w:val="22"/>
          <w:szCs w:val="22"/>
        </w:rPr>
        <w:t>54,000</w:t>
      </w:r>
    </w:p>
    <w:p w14:paraId="447E6AED">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Columns: </w:t>
      </w:r>
      <w:r>
        <w:rPr>
          <w:rFonts w:hint="default" w:ascii="Times New Roman Regular" w:hAnsi="Times New Roman Regular" w:cs="Times New Roman Regular"/>
          <w:b/>
          <w:bCs/>
          <w:color w:val="auto"/>
          <w:sz w:val="22"/>
          <w:szCs w:val="22"/>
        </w:rPr>
        <w:t>9</w:t>
      </w:r>
    </w:p>
    <w:p w14:paraId="0F2AFCB8">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Features:</w:t>
      </w:r>
    </w:p>
    <w:p w14:paraId="2B6E40A0">
      <w:pPr>
        <w:pStyle w:val="24"/>
        <w:numPr>
          <w:ilvl w:val="1"/>
          <w:numId w:val="2"/>
        </w:numPr>
        <w:rPr>
          <w:rFonts w:hint="default" w:ascii="Times New Roman Regular" w:hAnsi="Times New Roman Regular" w:cs="Times New Roman Regular"/>
          <w:color w:val="auto"/>
          <w:sz w:val="22"/>
          <w:szCs w:val="22"/>
        </w:rPr>
        <w:sectPr>
          <w:cols w:space="720" w:num="1"/>
        </w:sectPr>
      </w:pPr>
    </w:p>
    <w:p w14:paraId="13AAF705">
      <w:pPr>
        <w:pStyle w:val="24"/>
        <w:numPr>
          <w:ilvl w:val="1"/>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Date of Sale (dd/mm/yyyy)</w:t>
      </w:r>
    </w:p>
    <w:p w14:paraId="0C9370EA">
      <w:pPr>
        <w:pStyle w:val="24"/>
        <w:numPr>
          <w:ilvl w:val="1"/>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Address</w:t>
      </w:r>
    </w:p>
    <w:p w14:paraId="67771E30">
      <w:pPr>
        <w:pStyle w:val="24"/>
        <w:numPr>
          <w:ilvl w:val="1"/>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County</w:t>
      </w:r>
    </w:p>
    <w:p w14:paraId="14F7F09A">
      <w:pPr>
        <w:pStyle w:val="24"/>
        <w:numPr>
          <w:ilvl w:val="1"/>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Eircode</w:t>
      </w:r>
    </w:p>
    <w:p w14:paraId="2BCDE06E">
      <w:pPr>
        <w:pStyle w:val="24"/>
        <w:numPr>
          <w:ilvl w:val="1"/>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Price (€)</w:t>
      </w:r>
    </w:p>
    <w:p w14:paraId="32D1F8BE">
      <w:pPr>
        <w:pStyle w:val="24"/>
        <w:numPr>
          <w:ilvl w:val="1"/>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Not Full Market Price</w:t>
      </w:r>
    </w:p>
    <w:p w14:paraId="6BBA230C">
      <w:pPr>
        <w:pStyle w:val="24"/>
        <w:numPr>
          <w:ilvl w:val="1"/>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VAT Exclusive</w:t>
      </w:r>
    </w:p>
    <w:p w14:paraId="7B712552">
      <w:pPr>
        <w:pStyle w:val="24"/>
        <w:numPr>
          <w:ilvl w:val="1"/>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Description of Property</w:t>
      </w:r>
    </w:p>
    <w:p w14:paraId="681D4EC7">
      <w:pPr>
        <w:pStyle w:val="24"/>
        <w:numPr>
          <w:ilvl w:val="1"/>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Property Size Description</w:t>
      </w:r>
    </w:p>
    <w:bookmarkEnd w:id="3"/>
    <w:p w14:paraId="539E9BC4">
      <w:pPr>
        <w:pStyle w:val="5"/>
        <w:rPr>
          <w:rFonts w:hint="default" w:ascii="Times New Roman Regular" w:hAnsi="Times New Roman Regular" w:cs="Times New Roman Regular"/>
          <w:color w:val="auto"/>
          <w:sz w:val="22"/>
          <w:szCs w:val="22"/>
        </w:rPr>
        <w:sectPr>
          <w:type w:val="continuous"/>
          <w:cols w:equalWidth="0" w:num="2">
            <w:col w:w="4107" w:space="425"/>
            <w:col w:w="4107"/>
          </w:cols>
        </w:sectPr>
      </w:pPr>
      <w:bookmarkStart w:id="4" w:name="time-coverage"/>
    </w:p>
    <w:p w14:paraId="3AB34C32">
      <w:pPr>
        <w:pStyle w:val="5"/>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2.2 Time Coverage</w:t>
      </w:r>
    </w:p>
    <w:p w14:paraId="64C32F14">
      <w:pPr>
        <w:pStyle w:val="23"/>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Date of Sale</w:t>
      </w:r>
      <w:r>
        <w:rPr>
          <w:rFonts w:hint="default" w:ascii="Times New Roman Regular" w:hAnsi="Times New Roman Regular" w:cs="Times New Roman Regular"/>
          <w:color w:val="auto"/>
          <w:sz w:val="22"/>
          <w:szCs w:val="22"/>
        </w:rPr>
        <w:t xml:space="preserve"> is fully populated and valid for all records. Transactions span </w:t>
      </w:r>
      <w:r>
        <w:rPr>
          <w:rFonts w:hint="default" w:ascii="Times New Roman Regular" w:hAnsi="Times New Roman Regular" w:cs="Times New Roman Regular"/>
          <w:b/>
          <w:bCs/>
          <w:color w:val="auto"/>
          <w:sz w:val="22"/>
          <w:szCs w:val="22"/>
        </w:rPr>
        <w:t>2016 to 2024</w:t>
      </w:r>
      <w:r>
        <w:rPr>
          <w:rFonts w:hint="default" w:ascii="Times New Roman Regular" w:hAnsi="Times New Roman Regular" w:cs="Times New Roman Regular"/>
          <w:color w:val="auto"/>
          <w:sz w:val="22"/>
          <w:szCs w:val="22"/>
        </w:rPr>
        <w:t>, with near-even annual counts in this grouped sample.</w:t>
      </w:r>
    </w:p>
    <w:bookmarkEnd w:id="2"/>
    <w:bookmarkEnd w:id="4"/>
    <w:p w14:paraId="173D46B1">
      <w:pPr>
        <w:pStyle w:val="4"/>
        <w:rPr>
          <w:rFonts w:hint="default" w:ascii="Times New Roman Regular" w:hAnsi="Times New Roman Regular" w:cs="Times New Roman Regular"/>
          <w:color w:val="auto"/>
          <w:sz w:val="22"/>
          <w:szCs w:val="22"/>
        </w:rPr>
      </w:pPr>
      <w:bookmarkStart w:id="5" w:name="data-quality-findings"/>
      <w:r>
        <w:rPr>
          <w:rFonts w:hint="default" w:ascii="Times New Roman Regular" w:hAnsi="Times New Roman Regular" w:cs="Times New Roman Regular"/>
          <w:color w:val="auto"/>
          <w:sz w:val="22"/>
          <w:szCs w:val="22"/>
        </w:rPr>
        <w:t>3. Data Quality Findings</w:t>
      </w:r>
    </w:p>
    <w:bookmarkEnd w:id="5"/>
    <w:p w14:paraId="70599A3D">
      <w:pPr>
        <w:pStyle w:val="4"/>
        <w:rPr>
          <w:rFonts w:hint="default" w:ascii="Times New Roman Regular" w:hAnsi="Times New Roman Regular" w:cs="Times New Roman Regular"/>
          <w:color w:val="auto"/>
          <w:sz w:val="22"/>
          <w:szCs w:val="22"/>
        </w:rPr>
      </w:pPr>
      <w:bookmarkStart w:id="6" w:name="missingness"/>
      <w:r>
        <w:rPr>
          <w:rFonts w:hint="default" w:ascii="Times New Roman Regular" w:hAnsi="Times New Roman Regular" w:cs="Times New Roman Regular"/>
          <w:color w:val="auto"/>
          <w:sz w:val="22"/>
          <w:szCs w:val="22"/>
        </w:rPr>
        <w:t>3.1 Missingness</w:t>
      </w:r>
    </w:p>
    <w:p w14:paraId="6EA2313F">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The missingness profile is concentrated in two columns.</w:t>
      </w:r>
    </w:p>
    <w:tbl>
      <w:tblPr>
        <w:tblStyle w:val="28"/>
        <w:tblW w:w="0" w:type="pct"/>
        <w:tblInd w:w="0" w:type="dxa"/>
        <w:tblLayout w:type="autofit"/>
        <w:tblCellMar>
          <w:top w:w="0" w:type="dxa"/>
          <w:left w:w="108" w:type="dxa"/>
          <w:bottom w:w="0" w:type="dxa"/>
          <w:right w:w="108" w:type="dxa"/>
        </w:tblCellMar>
      </w:tblPr>
      <w:tblGrid>
        <w:gridCol w:w="2489"/>
        <w:gridCol w:w="1518"/>
        <w:gridCol w:w="1384"/>
      </w:tblGrid>
      <w:tr w14:paraId="41BBB663">
        <w:tc>
          <w:p w14:paraId="2BEF1776">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Feature</w:t>
            </w:r>
          </w:p>
        </w:tc>
        <w:tc>
          <w:p w14:paraId="77A093B7">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Missing Count</w:t>
            </w:r>
          </w:p>
        </w:tc>
        <w:tc>
          <w:p w14:paraId="33689E48">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Missing Rate</w:t>
            </w:r>
          </w:p>
        </w:tc>
      </w:tr>
      <w:tr w14:paraId="1DE8DF88">
        <w:tc>
          <w:p w14:paraId="5C3AA171">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Property Size Description</w:t>
            </w:r>
          </w:p>
        </w:tc>
        <w:tc>
          <w:p w14:paraId="347DAF71">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51,164</w:t>
            </w:r>
          </w:p>
        </w:tc>
        <w:tc>
          <w:p w14:paraId="087503C0">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94.75%</w:t>
            </w:r>
          </w:p>
        </w:tc>
      </w:tr>
      <w:tr w14:paraId="5A1133D0">
        <w:tc>
          <w:p w14:paraId="1166E926">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Eircode</w:t>
            </w:r>
          </w:p>
        </w:tc>
        <w:tc>
          <w:p w14:paraId="0161F8FC">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37,108</w:t>
            </w:r>
          </w:p>
        </w:tc>
        <w:tc>
          <w:p w14:paraId="45E18A01">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68.72%</w:t>
            </w:r>
          </w:p>
        </w:tc>
      </w:tr>
      <w:tr w14:paraId="65BB4CA4">
        <w:tc>
          <w:p w14:paraId="3F21E3D3">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Other columns</w:t>
            </w:r>
          </w:p>
        </w:tc>
        <w:tc>
          <w:p w14:paraId="7BBAC87E">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0</w:t>
            </w:r>
          </w:p>
        </w:tc>
        <w:tc>
          <w:p w14:paraId="227D6F49">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0%</w:t>
            </w:r>
          </w:p>
        </w:tc>
      </w:tr>
    </w:tbl>
    <w:p w14:paraId="4A37A753">
      <w:pPr>
        <w:pStyle w:val="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Interpretation: - </w:t>
      </w:r>
      <w:r>
        <w:rPr>
          <w:rStyle w:val="35"/>
          <w:rFonts w:hint="default" w:ascii="Times New Roman Regular" w:hAnsi="Times New Roman Regular" w:cs="Times New Roman Regular"/>
          <w:color w:val="auto"/>
          <w:sz w:val="22"/>
          <w:szCs w:val="22"/>
        </w:rPr>
        <w:t>Property Size Description</w:t>
      </w:r>
      <w:r>
        <w:rPr>
          <w:rFonts w:hint="default" w:ascii="Times New Roman Regular" w:hAnsi="Times New Roman Regular" w:cs="Times New Roman Regular"/>
          <w:color w:val="auto"/>
          <w:sz w:val="22"/>
          <w:szCs w:val="22"/>
        </w:rPr>
        <w:t xml:space="preserve"> has very limited usable coverage and cannot reliably support size-based modeling decisions in its current form. - </w:t>
      </w:r>
      <w:r>
        <w:rPr>
          <w:rStyle w:val="35"/>
          <w:rFonts w:hint="default" w:ascii="Times New Roman Regular" w:hAnsi="Times New Roman Regular" w:cs="Times New Roman Regular"/>
          <w:color w:val="auto"/>
          <w:sz w:val="22"/>
          <w:szCs w:val="22"/>
        </w:rPr>
        <w:t>Eircode</w:t>
      </w:r>
      <w:r>
        <w:rPr>
          <w:rFonts w:hint="default" w:ascii="Times New Roman Regular" w:hAnsi="Times New Roman Regular" w:cs="Times New Roman Regular"/>
          <w:color w:val="auto"/>
          <w:sz w:val="22"/>
          <w:szCs w:val="22"/>
        </w:rPr>
        <w:t xml:space="preserve"> is heavily missing and inconsistent as a direct location key.</w:t>
      </w:r>
    </w:p>
    <w:bookmarkEnd w:id="6"/>
    <w:p w14:paraId="5D8121E2">
      <w:pPr>
        <w:pStyle w:val="4"/>
        <w:rPr>
          <w:rFonts w:hint="default" w:ascii="Times New Roman Regular" w:hAnsi="Times New Roman Regular" w:cs="Times New Roman Regular"/>
          <w:color w:val="auto"/>
          <w:sz w:val="22"/>
          <w:szCs w:val="22"/>
        </w:rPr>
      </w:pPr>
      <w:bookmarkStart w:id="7" w:name="duplicates-and-constants"/>
      <w:r>
        <w:rPr>
          <w:rFonts w:hint="default" w:ascii="Times New Roman Regular" w:hAnsi="Times New Roman Regular" w:cs="Times New Roman Regular"/>
          <w:color w:val="auto"/>
          <w:sz w:val="22"/>
          <w:szCs w:val="22"/>
        </w:rPr>
        <w:t>3.2 Duplicates and Constants</w:t>
      </w:r>
    </w:p>
    <w:p w14:paraId="2BFF497C">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Exact duplicate rows: </w:t>
      </w:r>
      <w:r>
        <w:rPr>
          <w:rFonts w:hint="default" w:ascii="Times New Roman Regular" w:hAnsi="Times New Roman Regular" w:cs="Times New Roman Regular"/>
          <w:b/>
          <w:bCs/>
          <w:color w:val="auto"/>
          <w:sz w:val="22"/>
          <w:szCs w:val="22"/>
        </w:rPr>
        <w:t>9</w:t>
      </w:r>
      <w:r>
        <w:rPr>
          <w:rFonts w:hint="default" w:ascii="Times New Roman Regular" w:hAnsi="Times New Roman Regular" w:cs="Times New Roman Regular"/>
          <w:color w:val="auto"/>
          <w:sz w:val="22"/>
          <w:szCs w:val="22"/>
        </w:rPr>
        <w:t xml:space="preserve"> (0.017% of all rows)</w:t>
      </w:r>
    </w:p>
    <w:p w14:paraId="2A69F170">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No meaningful fully constant analytical column after preprocessing checks.</w:t>
      </w:r>
    </w:p>
    <w:p w14:paraId="26DD5BBD">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Interpretation: - Duplicate count is small but should still be removed to avoid duplicated training signal and metric distortion.</w:t>
      </w:r>
    </w:p>
    <w:bookmarkEnd w:id="7"/>
    <w:p w14:paraId="4FF76EDA">
      <w:pPr>
        <w:pStyle w:val="4"/>
        <w:rPr>
          <w:rFonts w:hint="default" w:ascii="Times New Roman Regular" w:hAnsi="Times New Roman Regular" w:cs="Times New Roman Regular"/>
          <w:color w:val="auto"/>
          <w:sz w:val="22"/>
          <w:szCs w:val="22"/>
        </w:rPr>
      </w:pPr>
      <w:bookmarkStart w:id="8" w:name="cardinality-and-feature-usability"/>
      <w:r>
        <w:rPr>
          <w:rFonts w:hint="default" w:ascii="Times New Roman Regular" w:hAnsi="Times New Roman Regular" w:cs="Times New Roman Regular"/>
          <w:color w:val="auto"/>
          <w:sz w:val="22"/>
          <w:szCs w:val="22"/>
        </w:rPr>
        <w:t>3.3 Cardinality and Feature Usability</w:t>
      </w:r>
    </w:p>
    <w:p w14:paraId="137C4BBC">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High-cardinality fields: </w:t>
      </w:r>
    </w:p>
    <w:p w14:paraId="6FDC01EA">
      <w:pPr>
        <w:pStyle w:val="23"/>
        <w:numPr>
          <w:ilvl w:val="0"/>
          <w:numId w:val="3"/>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Address</w:t>
      </w:r>
      <w:r>
        <w:rPr>
          <w:rFonts w:hint="default" w:ascii="Times New Roman Regular" w:hAnsi="Times New Roman Regular" w:cs="Times New Roman Regular"/>
          <w:color w:val="auto"/>
          <w:sz w:val="22"/>
          <w:szCs w:val="22"/>
        </w:rPr>
        <w:t xml:space="preserve">: </w:t>
      </w:r>
      <w:r>
        <w:rPr>
          <w:rFonts w:hint="default" w:ascii="Times New Roman Regular" w:hAnsi="Times New Roman Regular" w:cs="Times New Roman Regular"/>
          <w:b/>
          <w:bCs/>
          <w:color w:val="auto"/>
          <w:sz w:val="22"/>
          <w:szCs w:val="22"/>
        </w:rPr>
        <w:t>53,261 unique</w:t>
      </w:r>
      <w:r>
        <w:rPr>
          <w:rFonts w:hint="default" w:ascii="Times New Roman Regular" w:hAnsi="Times New Roman Regular" w:cs="Times New Roman Regular"/>
          <w:color w:val="auto"/>
          <w:sz w:val="22"/>
          <w:szCs w:val="22"/>
        </w:rPr>
        <w:t xml:space="preserve"> values </w:t>
      </w:r>
    </w:p>
    <w:p w14:paraId="01795AAB">
      <w:pPr>
        <w:pStyle w:val="23"/>
        <w:numPr>
          <w:ilvl w:val="0"/>
          <w:numId w:val="3"/>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Eircode</w:t>
      </w:r>
      <w:r>
        <w:rPr>
          <w:rFonts w:hint="default" w:ascii="Times New Roman Regular" w:hAnsi="Times New Roman Regular" w:cs="Times New Roman Regular"/>
          <w:color w:val="auto"/>
          <w:sz w:val="22"/>
          <w:szCs w:val="22"/>
        </w:rPr>
        <w:t xml:space="preserve">: </w:t>
      </w:r>
      <w:r>
        <w:rPr>
          <w:rFonts w:hint="default" w:ascii="Times New Roman Regular" w:hAnsi="Times New Roman Regular" w:cs="Times New Roman Regular"/>
          <w:b/>
          <w:bCs/>
          <w:color w:val="auto"/>
          <w:sz w:val="22"/>
          <w:szCs w:val="22"/>
        </w:rPr>
        <w:t>16,823 unique</w:t>
      </w:r>
      <w:r>
        <w:rPr>
          <w:rFonts w:hint="default" w:ascii="Times New Roman Regular" w:hAnsi="Times New Roman Regular" w:cs="Times New Roman Regular"/>
          <w:color w:val="auto"/>
          <w:sz w:val="22"/>
          <w:szCs w:val="22"/>
        </w:rPr>
        <w:t xml:space="preserve"> values</w:t>
      </w:r>
    </w:p>
    <w:p w14:paraId="090781DB">
      <w:pPr>
        <w:pStyle w:val="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Moderate/low-cardinality fields: </w:t>
      </w:r>
    </w:p>
    <w:p w14:paraId="036C0591">
      <w:pPr>
        <w:pStyle w:val="3"/>
        <w:numPr>
          <w:ilvl w:val="0"/>
          <w:numId w:val="4"/>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County</w:t>
      </w:r>
      <w:r>
        <w:rPr>
          <w:rFonts w:hint="default" w:ascii="Times New Roman Regular" w:hAnsi="Times New Roman Regular" w:cs="Times New Roman Regular"/>
          <w:color w:val="auto"/>
          <w:sz w:val="22"/>
          <w:szCs w:val="22"/>
        </w:rPr>
        <w:t xml:space="preserve">: 26 </w:t>
      </w:r>
    </w:p>
    <w:p w14:paraId="49419E2D">
      <w:pPr>
        <w:pStyle w:val="3"/>
        <w:numPr>
          <w:ilvl w:val="0"/>
          <w:numId w:val="4"/>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Description of Property</w:t>
      </w:r>
      <w:r>
        <w:rPr>
          <w:rFonts w:hint="default" w:ascii="Times New Roman Regular" w:hAnsi="Times New Roman Regular" w:cs="Times New Roman Regular"/>
          <w:color w:val="auto"/>
          <w:sz w:val="22"/>
          <w:szCs w:val="22"/>
        </w:rPr>
        <w:t xml:space="preserve">: 3 </w:t>
      </w:r>
    </w:p>
    <w:p w14:paraId="42BEB39F">
      <w:pPr>
        <w:pStyle w:val="3"/>
        <w:numPr>
          <w:ilvl w:val="0"/>
          <w:numId w:val="4"/>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Not Full Market Price</w:t>
      </w:r>
      <w:r>
        <w:rPr>
          <w:rFonts w:hint="default" w:ascii="Times New Roman Regular" w:hAnsi="Times New Roman Regular" w:cs="Times New Roman Regular"/>
          <w:color w:val="auto"/>
          <w:sz w:val="22"/>
          <w:szCs w:val="22"/>
        </w:rPr>
        <w:t xml:space="preserve">: 2 </w:t>
      </w:r>
    </w:p>
    <w:p w14:paraId="33348C71">
      <w:pPr>
        <w:pStyle w:val="3"/>
        <w:numPr>
          <w:ilvl w:val="0"/>
          <w:numId w:val="4"/>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VAT Exclusive</w:t>
      </w:r>
      <w:r>
        <w:rPr>
          <w:rFonts w:hint="default" w:ascii="Times New Roman Regular" w:hAnsi="Times New Roman Regular" w:cs="Times New Roman Regular"/>
          <w:color w:val="auto"/>
          <w:sz w:val="22"/>
          <w:szCs w:val="22"/>
        </w:rPr>
        <w:t>: 2</w:t>
      </w:r>
    </w:p>
    <w:p w14:paraId="7DFF7112">
      <w:pPr>
        <w:pStyle w:val="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Interpretation: - Raw </w:t>
      </w:r>
      <w:r>
        <w:rPr>
          <w:rStyle w:val="35"/>
          <w:rFonts w:hint="default" w:ascii="Times New Roman Regular" w:hAnsi="Times New Roman Regular" w:cs="Times New Roman Regular"/>
          <w:color w:val="auto"/>
          <w:sz w:val="22"/>
          <w:szCs w:val="22"/>
        </w:rPr>
        <w:t>Address</w:t>
      </w:r>
      <w:r>
        <w:rPr>
          <w:rFonts w:hint="default" w:ascii="Times New Roman Regular" w:hAnsi="Times New Roman Regular" w:cs="Times New Roman Regular"/>
          <w:color w:val="auto"/>
          <w:sz w:val="22"/>
          <w:szCs w:val="22"/>
        </w:rPr>
        <w:t xml:space="preserve"> and </w:t>
      </w:r>
      <w:r>
        <w:rPr>
          <w:rStyle w:val="35"/>
          <w:rFonts w:hint="default" w:ascii="Times New Roman Regular" w:hAnsi="Times New Roman Regular" w:cs="Times New Roman Regular"/>
          <w:color w:val="auto"/>
          <w:sz w:val="22"/>
          <w:szCs w:val="22"/>
        </w:rPr>
        <w:t>Eircode</w:t>
      </w:r>
      <w:r>
        <w:rPr>
          <w:rFonts w:hint="default" w:ascii="Times New Roman Regular" w:hAnsi="Times New Roman Regular" w:cs="Times New Roman Regular"/>
          <w:color w:val="auto"/>
          <w:sz w:val="22"/>
          <w:szCs w:val="22"/>
        </w:rPr>
        <w:t xml:space="preserve"> should not be directly one-hot encoded. - Structured, low-dimensional derived location features are preferred.</w:t>
      </w:r>
    </w:p>
    <w:bookmarkEnd w:id="8"/>
    <w:p w14:paraId="25CB646A">
      <w:pPr>
        <w:pStyle w:val="4"/>
        <w:rPr>
          <w:rFonts w:hint="default" w:ascii="Times New Roman Regular" w:hAnsi="Times New Roman Regular" w:cs="Times New Roman Regular"/>
          <w:color w:val="auto"/>
          <w:sz w:val="22"/>
          <w:szCs w:val="22"/>
        </w:rPr>
      </w:pPr>
      <w:bookmarkStart w:id="9" w:name="price-quality-and-distribution"/>
      <w:r>
        <w:rPr>
          <w:rFonts w:hint="default" w:ascii="Times New Roman Regular" w:hAnsi="Times New Roman Regular" w:cs="Times New Roman Regular"/>
          <w:color w:val="auto"/>
          <w:sz w:val="22"/>
          <w:szCs w:val="22"/>
        </w:rPr>
        <w:t>3.4 Price Quality and Distribution</w:t>
      </w:r>
    </w:p>
    <w:p w14:paraId="79F6B7BE">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Parsed numeric </w:t>
      </w:r>
      <w:r>
        <w:rPr>
          <w:rStyle w:val="35"/>
          <w:rFonts w:hint="default" w:ascii="Times New Roman Regular" w:hAnsi="Times New Roman Regular" w:cs="Times New Roman Regular"/>
          <w:color w:val="auto"/>
          <w:sz w:val="22"/>
          <w:szCs w:val="22"/>
        </w:rPr>
        <w:t>Price (€)</w:t>
      </w:r>
      <w:r>
        <w:rPr>
          <w:rFonts w:hint="default" w:ascii="Times New Roman Regular" w:hAnsi="Times New Roman Regular" w:cs="Times New Roman Regular"/>
          <w:color w:val="auto"/>
          <w:sz w:val="22"/>
          <w:szCs w:val="22"/>
        </w:rPr>
        <w:t xml:space="preserve"> summary: </w:t>
      </w:r>
    </w:p>
    <w:p w14:paraId="653147CB">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 Mean: </w:t>
      </w:r>
      <w:r>
        <w:rPr>
          <w:rFonts w:hint="default" w:ascii="Times New Roman Regular" w:hAnsi="Times New Roman Regular" w:cs="Times New Roman Regular"/>
          <w:b/>
          <w:bCs/>
          <w:color w:val="auto"/>
          <w:sz w:val="22"/>
          <w:szCs w:val="22"/>
        </w:rPr>
        <w:t>340,639</w:t>
      </w:r>
      <w:r>
        <w:rPr>
          <w:rFonts w:hint="default" w:ascii="Times New Roman Regular" w:hAnsi="Times New Roman Regular" w:cs="Times New Roman Regular"/>
          <w:color w:val="auto"/>
          <w:sz w:val="22"/>
          <w:szCs w:val="22"/>
        </w:rPr>
        <w:t xml:space="preserve"> - Median: </w:t>
      </w:r>
      <w:r>
        <w:rPr>
          <w:rFonts w:hint="default" w:ascii="Times New Roman Regular" w:hAnsi="Times New Roman Regular" w:cs="Times New Roman Regular"/>
          <w:b/>
          <w:bCs/>
          <w:color w:val="auto"/>
          <w:sz w:val="22"/>
          <w:szCs w:val="22"/>
        </w:rPr>
        <w:t>250,000</w:t>
      </w:r>
      <w:r>
        <w:rPr>
          <w:rFonts w:hint="default" w:ascii="Times New Roman Regular" w:hAnsi="Times New Roman Regular" w:cs="Times New Roman Regular"/>
          <w:color w:val="auto"/>
          <w:sz w:val="22"/>
          <w:szCs w:val="22"/>
        </w:rPr>
        <w:t xml:space="preserve"> - Std: </w:t>
      </w:r>
      <w:r>
        <w:rPr>
          <w:rFonts w:hint="default" w:ascii="Times New Roman Regular" w:hAnsi="Times New Roman Regular" w:cs="Times New Roman Regular"/>
          <w:b/>
          <w:bCs/>
          <w:color w:val="auto"/>
          <w:sz w:val="22"/>
          <w:szCs w:val="22"/>
        </w:rPr>
        <w:t>1,662,132</w:t>
      </w:r>
      <w:r>
        <w:rPr>
          <w:rFonts w:hint="default" w:ascii="Times New Roman Regular" w:hAnsi="Times New Roman Regular" w:cs="Times New Roman Regular"/>
          <w:color w:val="auto"/>
          <w:sz w:val="22"/>
          <w:szCs w:val="22"/>
        </w:rPr>
        <w:t xml:space="preserve"> - Min: </w:t>
      </w:r>
      <w:r>
        <w:rPr>
          <w:rFonts w:hint="default" w:ascii="Times New Roman Regular" w:hAnsi="Times New Roman Regular" w:cs="Times New Roman Regular"/>
          <w:b/>
          <w:bCs/>
          <w:color w:val="auto"/>
          <w:sz w:val="22"/>
          <w:szCs w:val="22"/>
        </w:rPr>
        <w:t>5,250</w:t>
      </w:r>
      <w:r>
        <w:rPr>
          <w:rFonts w:hint="default" w:ascii="Times New Roman Regular" w:hAnsi="Times New Roman Regular" w:cs="Times New Roman Regular"/>
          <w:color w:val="auto"/>
          <w:sz w:val="22"/>
          <w:szCs w:val="22"/>
        </w:rPr>
        <w:t xml:space="preserve"> </w:t>
      </w:r>
    </w:p>
    <w:p w14:paraId="7BEF1C49">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- 5th percentile: </w:t>
      </w:r>
      <w:r>
        <w:rPr>
          <w:rFonts w:hint="default" w:ascii="Times New Roman Regular" w:hAnsi="Times New Roman Regular" w:cs="Times New Roman Regular"/>
          <w:b/>
          <w:bCs/>
          <w:color w:val="auto"/>
          <w:sz w:val="22"/>
          <w:szCs w:val="22"/>
        </w:rPr>
        <w:t>60,000</w:t>
      </w:r>
      <w:r>
        <w:rPr>
          <w:rFonts w:hint="default" w:ascii="Times New Roman Regular" w:hAnsi="Times New Roman Regular" w:cs="Times New Roman Regular"/>
          <w:color w:val="auto"/>
          <w:sz w:val="22"/>
          <w:szCs w:val="22"/>
        </w:rPr>
        <w:t xml:space="preserve"> - 95th percentile: </w:t>
      </w:r>
      <w:r>
        <w:rPr>
          <w:rFonts w:hint="default" w:ascii="Times New Roman Regular" w:hAnsi="Times New Roman Regular" w:cs="Times New Roman Regular"/>
          <w:b/>
          <w:bCs/>
          <w:color w:val="auto"/>
          <w:sz w:val="22"/>
          <w:szCs w:val="22"/>
        </w:rPr>
        <w:t>703,000</w:t>
      </w:r>
      <w:r>
        <w:rPr>
          <w:rFonts w:hint="default" w:ascii="Times New Roman Regular" w:hAnsi="Times New Roman Regular" w:cs="Times New Roman Regular"/>
          <w:color w:val="auto"/>
          <w:sz w:val="22"/>
          <w:szCs w:val="22"/>
        </w:rPr>
        <w:t xml:space="preserve"> - Max: </w:t>
      </w:r>
      <w:r>
        <w:rPr>
          <w:rFonts w:hint="default" w:ascii="Times New Roman Regular" w:hAnsi="Times New Roman Regular" w:cs="Times New Roman Regular"/>
          <w:b/>
          <w:bCs/>
          <w:color w:val="auto"/>
          <w:sz w:val="22"/>
          <w:szCs w:val="22"/>
        </w:rPr>
        <w:t>225,000,000</w:t>
      </w:r>
    </w:p>
    <w:p w14:paraId="1A6BA2EB">
      <w:pPr>
        <w:pStyle w:val="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Interpretation: - Distribution is strongly right-skewed. - Extreme values (especially very high-end records) can dominate model loss and coefficient estimation. - Robust transformation/clamping should be applied in DQP.</w:t>
      </w:r>
    </w:p>
    <w:bookmarkEnd w:id="9"/>
    <w:p w14:paraId="2E876BEA">
      <w:pPr>
        <w:pStyle w:val="4"/>
        <w:rPr>
          <w:rFonts w:hint="default" w:ascii="Times New Roman Regular" w:hAnsi="Times New Roman Regular" w:cs="Times New Roman Regular"/>
          <w:color w:val="auto"/>
          <w:sz w:val="22"/>
          <w:szCs w:val="22"/>
        </w:rPr>
      </w:pPr>
      <w:bookmarkStart w:id="10" w:name="category-balance-key-fields"/>
      <w:r>
        <w:rPr>
          <w:rFonts w:hint="default" w:ascii="Times New Roman Regular" w:hAnsi="Times New Roman Regular" w:cs="Times New Roman Regular"/>
          <w:color w:val="auto"/>
          <w:sz w:val="22"/>
          <w:szCs w:val="22"/>
        </w:rPr>
        <w:t>3.5 Category Balance (Key Fields)</w:t>
      </w:r>
    </w:p>
    <w:p w14:paraId="3BCA1246">
      <w:pPr>
        <w:pStyle w:val="5"/>
        <w:rPr>
          <w:rFonts w:hint="default" w:ascii="Times New Roman Regular" w:hAnsi="Times New Roman Regular" w:cs="Times New Roman Regular"/>
          <w:color w:val="auto"/>
          <w:sz w:val="22"/>
          <w:szCs w:val="22"/>
        </w:rPr>
      </w:pPr>
      <w:bookmarkStart w:id="11" w:name="county"/>
      <w:r>
        <w:rPr>
          <w:rFonts w:hint="default" w:ascii="Times New Roman Regular" w:hAnsi="Times New Roman Regular" w:cs="Times New Roman Regular"/>
          <w:color w:val="auto"/>
          <w:sz w:val="22"/>
          <w:szCs w:val="22"/>
        </w:rPr>
        <w:t>County</w:t>
      </w:r>
    </w:p>
    <w:p w14:paraId="5109D583">
      <w:pPr>
        <w:pStyle w:val="24"/>
        <w:numPr>
          <w:ilvl w:val="0"/>
          <w:numId w:val="2"/>
        </w:numPr>
        <w:rPr>
          <w:rFonts w:hint="default" w:ascii="Times New Roman Regular" w:hAnsi="Times New Roman Regular" w:cs="Times New Roman Regular"/>
          <w:color w:val="auto"/>
          <w:sz w:val="22"/>
          <w:szCs w:val="22"/>
        </w:rPr>
        <w:sectPr>
          <w:type w:val="continuous"/>
          <w:cols w:space="720" w:num="1"/>
        </w:sectPr>
      </w:pPr>
    </w:p>
    <w:p w14:paraId="52916504">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Dublin: </w:t>
      </w:r>
      <w:r>
        <w:rPr>
          <w:rFonts w:hint="default" w:ascii="Times New Roman Regular" w:hAnsi="Times New Roman Regular" w:cs="Times New Roman Regular"/>
          <w:b/>
          <w:bCs/>
          <w:color w:val="auto"/>
          <w:sz w:val="22"/>
          <w:szCs w:val="22"/>
        </w:rPr>
        <w:t>16,592</w:t>
      </w:r>
      <w:r>
        <w:rPr>
          <w:rFonts w:hint="default" w:ascii="Times New Roman Regular" w:hAnsi="Times New Roman Regular" w:cs="Times New Roman Regular"/>
          <w:color w:val="auto"/>
          <w:sz w:val="22"/>
          <w:szCs w:val="22"/>
        </w:rPr>
        <w:t xml:space="preserve"> (~30.7%)</w:t>
      </w:r>
    </w:p>
    <w:p w14:paraId="39EBB88D">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Cork: 5,975</w:t>
      </w:r>
    </w:p>
    <w:p w14:paraId="260EF245">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Kildare: 2,926</w:t>
      </w:r>
    </w:p>
    <w:p w14:paraId="3A1915FB">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Others with smaller shares</w:t>
      </w:r>
    </w:p>
    <w:bookmarkEnd w:id="11"/>
    <w:p w14:paraId="1CE9EDAC">
      <w:pPr>
        <w:pStyle w:val="5"/>
        <w:rPr>
          <w:rFonts w:hint="default" w:ascii="Times New Roman Regular" w:hAnsi="Times New Roman Regular" w:cs="Times New Roman Regular"/>
          <w:color w:val="auto"/>
          <w:sz w:val="22"/>
          <w:szCs w:val="22"/>
        </w:rPr>
        <w:sectPr>
          <w:type w:val="continuous"/>
          <w:cols w:equalWidth="0" w:num="2">
            <w:col w:w="4107" w:space="425"/>
            <w:col w:w="4107"/>
          </w:cols>
        </w:sectPr>
      </w:pPr>
      <w:bookmarkStart w:id="12" w:name="description-of-property"/>
    </w:p>
    <w:p w14:paraId="29757086">
      <w:pPr>
        <w:pStyle w:val="5"/>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Description of Property</w:t>
      </w:r>
    </w:p>
    <w:p w14:paraId="4A9E772B">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Second-Hand Dwelling house /Apartment: </w:t>
      </w:r>
      <w:r>
        <w:rPr>
          <w:rFonts w:hint="default" w:ascii="Times New Roman Regular" w:hAnsi="Times New Roman Regular" w:cs="Times New Roman Regular"/>
          <w:b/>
          <w:bCs/>
          <w:color w:val="auto"/>
          <w:sz w:val="22"/>
          <w:szCs w:val="22"/>
        </w:rPr>
        <w:t>44,332</w:t>
      </w:r>
    </w:p>
    <w:p w14:paraId="100B5630">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New Dwelling house /Apartment: </w:t>
      </w:r>
      <w:r>
        <w:rPr>
          <w:rFonts w:hint="default" w:ascii="Times New Roman Regular" w:hAnsi="Times New Roman Regular" w:cs="Times New Roman Regular"/>
          <w:b/>
          <w:bCs/>
          <w:color w:val="auto"/>
          <w:sz w:val="22"/>
          <w:szCs w:val="22"/>
        </w:rPr>
        <w:t>9,665</w:t>
      </w:r>
    </w:p>
    <w:p w14:paraId="03ECC48A">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Minor residual category: 3</w:t>
      </w:r>
    </w:p>
    <w:bookmarkEnd w:id="12"/>
    <w:p w14:paraId="3161AE0F">
      <w:pPr>
        <w:pStyle w:val="5"/>
        <w:rPr>
          <w:rFonts w:hint="default" w:ascii="Times New Roman Regular" w:hAnsi="Times New Roman Regular" w:cs="Times New Roman Regular"/>
          <w:color w:val="auto"/>
          <w:sz w:val="22"/>
          <w:szCs w:val="22"/>
        </w:rPr>
      </w:pPr>
      <w:bookmarkStart w:id="13" w:name="vat-and-full-market-indicators"/>
      <w:r>
        <w:rPr>
          <w:rFonts w:hint="default" w:ascii="Times New Roman Regular" w:hAnsi="Times New Roman Regular" w:cs="Times New Roman Regular"/>
          <w:color w:val="auto"/>
          <w:sz w:val="22"/>
          <w:szCs w:val="22"/>
        </w:rPr>
        <w:t>VAT and Full-Market Indicators</w:t>
      </w:r>
    </w:p>
    <w:p w14:paraId="14D8A719">
      <w:pPr>
        <w:pStyle w:val="24"/>
        <w:numPr>
          <w:ilvl w:val="0"/>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VAT Exclusive</w:t>
      </w:r>
      <w:r>
        <w:rPr>
          <w:rFonts w:hint="default" w:ascii="Times New Roman Regular" w:hAnsi="Times New Roman Regular" w:cs="Times New Roman Regular"/>
          <w:color w:val="auto"/>
          <w:sz w:val="22"/>
          <w:szCs w:val="22"/>
        </w:rPr>
        <w:t xml:space="preserve">: Yes = </w:t>
      </w:r>
      <w:r>
        <w:rPr>
          <w:rFonts w:hint="default" w:ascii="Times New Roman Regular" w:hAnsi="Times New Roman Regular" w:cs="Times New Roman Regular"/>
          <w:b/>
          <w:bCs/>
          <w:color w:val="auto"/>
          <w:sz w:val="22"/>
          <w:szCs w:val="22"/>
        </w:rPr>
        <w:t>9,514</w:t>
      </w:r>
      <w:r>
        <w:rPr>
          <w:rFonts w:hint="default" w:ascii="Times New Roman Regular" w:hAnsi="Times New Roman Regular" w:cs="Times New Roman Regular"/>
          <w:color w:val="auto"/>
          <w:sz w:val="22"/>
          <w:szCs w:val="22"/>
        </w:rPr>
        <w:t>, No = 44,486</w:t>
      </w:r>
    </w:p>
    <w:p w14:paraId="55C9F5C6">
      <w:pPr>
        <w:pStyle w:val="24"/>
        <w:numPr>
          <w:ilvl w:val="0"/>
          <w:numId w:val="2"/>
        </w:numPr>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Not Full Market Price</w:t>
      </w:r>
      <w:r>
        <w:rPr>
          <w:rFonts w:hint="default" w:ascii="Times New Roman Regular" w:hAnsi="Times New Roman Regular" w:cs="Times New Roman Regular"/>
          <w:color w:val="auto"/>
          <w:sz w:val="22"/>
          <w:szCs w:val="22"/>
        </w:rPr>
        <w:t xml:space="preserve">: Yes = </w:t>
      </w:r>
      <w:r>
        <w:rPr>
          <w:rFonts w:hint="default" w:ascii="Times New Roman Regular" w:hAnsi="Times New Roman Regular" w:cs="Times New Roman Regular"/>
          <w:b/>
          <w:bCs/>
          <w:color w:val="auto"/>
          <w:sz w:val="22"/>
          <w:szCs w:val="22"/>
        </w:rPr>
        <w:t>2,850</w:t>
      </w:r>
      <w:r>
        <w:rPr>
          <w:rFonts w:hint="default" w:ascii="Times New Roman Regular" w:hAnsi="Times New Roman Regular" w:cs="Times New Roman Regular"/>
          <w:color w:val="auto"/>
          <w:sz w:val="22"/>
          <w:szCs w:val="22"/>
        </w:rPr>
        <w:t>, No = 51,150</w:t>
      </w:r>
    </w:p>
    <w:p w14:paraId="0185E683">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Interpretation: - Category imbalance is manageable but must be acknowledged in interpretation and model evaluation. - </w:t>
      </w:r>
      <w:r>
        <w:rPr>
          <w:rStyle w:val="35"/>
          <w:rFonts w:hint="default" w:ascii="Times New Roman Regular" w:hAnsi="Times New Roman Regular" w:cs="Times New Roman Regular"/>
          <w:color w:val="auto"/>
          <w:sz w:val="22"/>
          <w:szCs w:val="22"/>
        </w:rPr>
        <w:t>VAT Exclusive</w:t>
      </w:r>
      <w:r>
        <w:rPr>
          <w:rFonts w:hint="default" w:ascii="Times New Roman Regular" w:hAnsi="Times New Roman Regular" w:cs="Times New Roman Regular"/>
          <w:color w:val="auto"/>
          <w:sz w:val="22"/>
          <w:szCs w:val="22"/>
        </w:rPr>
        <w:t xml:space="preserve"> carries business-rule implications for target standardization.</w:t>
      </w:r>
    </w:p>
    <w:bookmarkEnd w:id="10"/>
    <w:bookmarkEnd w:id="13"/>
    <w:p w14:paraId="0C81150A">
      <w:pPr>
        <w:pStyle w:val="4"/>
        <w:rPr>
          <w:rFonts w:hint="default" w:ascii="Times New Roman Regular" w:hAnsi="Times New Roman Regular" w:cs="Times New Roman Regular"/>
          <w:color w:val="auto"/>
          <w:sz w:val="22"/>
          <w:szCs w:val="22"/>
        </w:rPr>
      </w:pPr>
      <w:bookmarkStart w:id="14" w:name="Xe2b2712e7de10834b65dde5ea4e99f1ffe87d48"/>
      <w:r>
        <w:rPr>
          <w:rFonts w:hint="default" w:ascii="Times New Roman Regular" w:hAnsi="Times New Roman Regular" w:cs="Times New Roman Regular"/>
          <w:color w:val="auto"/>
          <w:sz w:val="22"/>
          <w:szCs w:val="22"/>
        </w:rPr>
        <w:t>4. Visual-Analytical Interpretation (from notebook figures)</w:t>
      </w:r>
    </w:p>
    <w:p w14:paraId="114334C4">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The notebook visuals support four consistent conclusions:</w:t>
      </w:r>
    </w:p>
    <w:p w14:paraId="52343293">
      <w:pPr>
        <w:numPr>
          <w:ilvl w:val="0"/>
          <w:numId w:val="5"/>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Price distribution is heavy-tailed</w:t>
      </w:r>
      <w:r>
        <w:rPr>
          <w:rFonts w:hint="default" w:ascii="Times New Roman Regular" w:hAnsi="Times New Roman Regular" w:cs="Times New Roman Regular"/>
          <w:color w:val="auto"/>
          <w:sz w:val="22"/>
          <w:szCs w:val="22"/>
        </w:rPr>
        <w:t>, and raw boxplots show long upper whiskers and extreme outliers.</w:t>
      </w:r>
    </w:p>
    <w:p w14:paraId="2DBC74DC">
      <w:pPr>
        <w:numPr>
          <w:ilvl w:val="0"/>
          <w:numId w:val="5"/>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 </w:t>
      </w:r>
      <w:r>
        <w:rPr>
          <w:rFonts w:hint="default" w:ascii="Times New Roman Regular" w:hAnsi="Times New Roman Regular" w:cs="Times New Roman Regular"/>
          <w:b/>
          <w:bCs/>
          <w:color w:val="auto"/>
          <w:sz w:val="22"/>
          <w:szCs w:val="22"/>
        </w:rPr>
        <w:t>County-level heterogeneity is significant</w:t>
      </w:r>
      <w:r>
        <w:rPr>
          <w:rFonts w:hint="default" w:ascii="Times New Roman Regular" w:hAnsi="Times New Roman Regular" w:cs="Times New Roman Regular"/>
          <w:color w:val="auto"/>
          <w:sz w:val="22"/>
          <w:szCs w:val="22"/>
        </w:rPr>
        <w:t xml:space="preserve">, especially for Dublin/Wicklow compared with many other counties. 3. </w:t>
      </w:r>
      <w:r>
        <w:rPr>
          <w:rFonts w:hint="default" w:ascii="Times New Roman Regular" w:hAnsi="Times New Roman Regular" w:cs="Times New Roman Regular"/>
          <w:b/>
          <w:bCs/>
          <w:color w:val="auto"/>
          <w:sz w:val="22"/>
          <w:szCs w:val="22"/>
        </w:rPr>
        <w:t>Time signal exists</w:t>
      </w:r>
      <w:r>
        <w:rPr>
          <w:rFonts w:hint="default" w:ascii="Times New Roman Regular" w:hAnsi="Times New Roman Regular" w:cs="Times New Roman Regular"/>
          <w:color w:val="auto"/>
          <w:sz w:val="22"/>
          <w:szCs w:val="22"/>
        </w:rPr>
        <w:t xml:space="preserve"> (year-level trend stronger than month-level variation). 4. </w:t>
      </w:r>
      <w:r>
        <w:rPr>
          <w:rFonts w:hint="default" w:ascii="Times New Roman Regular" w:hAnsi="Times New Roman Regular" w:cs="Times New Roman Regular"/>
          <w:b/>
          <w:bCs/>
          <w:color w:val="auto"/>
          <w:sz w:val="22"/>
          <w:szCs w:val="22"/>
        </w:rPr>
        <w:t>High-cardinality location raw fields</w:t>
      </w:r>
      <w:r>
        <w:rPr>
          <w:rFonts w:hint="default" w:ascii="Times New Roman Regular" w:hAnsi="Times New Roman Regular" w:cs="Times New Roman Regular"/>
          <w:color w:val="auto"/>
          <w:sz w:val="22"/>
          <w:szCs w:val="22"/>
        </w:rPr>
        <w:t xml:space="preserve"> are not directly suitable for robust modeling and should be transformed.</w:t>
      </w:r>
    </w:p>
    <w:p w14:paraId="027B0493">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These observations justify moving from raw text location fields to engineered location features and from raw price to standardized robust target variants in DQP.</w:t>
      </w:r>
    </w:p>
    <w:bookmarkEnd w:id="14"/>
    <w:p w14:paraId="5E5D1163">
      <w:pPr>
        <w:pStyle w:val="4"/>
        <w:rPr>
          <w:rFonts w:hint="default" w:ascii="Times New Roman Regular" w:hAnsi="Times New Roman Regular" w:cs="Times New Roman Regular"/>
          <w:color w:val="auto"/>
          <w:sz w:val="22"/>
          <w:szCs w:val="22"/>
        </w:rPr>
      </w:pPr>
      <w:bookmarkStart w:id="15" w:name="recommended-actions-for-dqp"/>
      <w:r>
        <w:rPr>
          <w:rFonts w:hint="default" w:ascii="Times New Roman Regular" w:hAnsi="Times New Roman Regular" w:cs="Times New Roman Regular"/>
          <w:color w:val="auto"/>
          <w:sz w:val="22"/>
          <w:szCs w:val="22"/>
        </w:rPr>
        <w:t>5. Recommended Actions for DQP</w:t>
      </w:r>
    </w:p>
    <w:bookmarkEnd w:id="15"/>
    <w:p w14:paraId="069AB920">
      <w:pPr>
        <w:pStyle w:val="4"/>
        <w:rPr>
          <w:rFonts w:hint="default" w:ascii="Times New Roman Regular" w:hAnsi="Times New Roman Regular" w:cs="Times New Roman Regular"/>
          <w:color w:val="auto"/>
          <w:sz w:val="22"/>
          <w:szCs w:val="22"/>
        </w:rPr>
      </w:pPr>
      <w:bookmarkStart w:id="16" w:name="feature-level-plan"/>
      <w:r>
        <w:rPr>
          <w:rFonts w:hint="default" w:ascii="Times New Roman Regular" w:hAnsi="Times New Roman Regular" w:cs="Times New Roman Regular"/>
          <w:color w:val="auto"/>
          <w:sz w:val="22"/>
          <w:szCs w:val="22"/>
        </w:rPr>
        <w:t>5.1 Feature-Level Plan</w:t>
      </w:r>
    </w:p>
    <w:tbl>
      <w:tblPr>
        <w:tblStyle w:val="28"/>
        <w:tblW w:w="5000" w:type="pct"/>
        <w:tblInd w:w="0" w:type="dxa"/>
        <w:tblLayout w:type="autofit"/>
        <w:tblCellMar>
          <w:top w:w="0" w:type="dxa"/>
          <w:left w:w="108" w:type="dxa"/>
          <w:bottom w:w="0" w:type="dxa"/>
          <w:right w:w="108" w:type="dxa"/>
        </w:tblCellMar>
      </w:tblPr>
      <w:tblGrid>
        <w:gridCol w:w="1796"/>
        <w:gridCol w:w="2712"/>
        <w:gridCol w:w="4348"/>
      </w:tblGrid>
      <w:tr w14:paraId="0DB42DEB">
        <w:tc>
          <w:tcPr>
            <w:tcW w:w="1014" w:type="pct"/>
          </w:tcPr>
          <w:p w14:paraId="1807CD9C">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Feature</w:t>
            </w:r>
          </w:p>
        </w:tc>
        <w:tc>
          <w:tcPr>
            <w:tcW w:w="1531" w:type="pct"/>
          </w:tcPr>
          <w:p w14:paraId="55721A6D">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DQR Issue</w:t>
            </w:r>
          </w:p>
        </w:tc>
        <w:tc>
          <w:tcPr>
            <w:tcW w:w="2454" w:type="pct"/>
          </w:tcPr>
          <w:p w14:paraId="65894440">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Recommended DQP Action</w:t>
            </w:r>
          </w:p>
        </w:tc>
      </w:tr>
      <w:tr w14:paraId="7FB93C99">
        <w:tc>
          <w:tcPr>
            <w:tcW w:w="1014" w:type="pct"/>
          </w:tcPr>
          <w:p w14:paraId="4792C160">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Price (€)</w:t>
            </w:r>
          </w:p>
        </w:tc>
        <w:tc>
          <w:tcPr>
            <w:tcW w:w="1531" w:type="pct"/>
          </w:tcPr>
          <w:p w14:paraId="3D04F7D0">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Heavy skew + extreme outliers</w:t>
            </w:r>
          </w:p>
        </w:tc>
        <w:tc>
          <w:tcPr>
            <w:tcW w:w="2454" w:type="pct"/>
          </w:tcPr>
          <w:p w14:paraId="0930AFD0">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Parse to numeric, apply business-rule standardization and robust clamping</w:t>
            </w:r>
          </w:p>
        </w:tc>
      </w:tr>
      <w:tr w14:paraId="0CAA4737">
        <w:tc>
          <w:tcPr>
            <w:tcW w:w="1014" w:type="pct"/>
          </w:tcPr>
          <w:p w14:paraId="4F2A5ECB">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VAT Exclusive + Description of Property</w:t>
            </w:r>
          </w:p>
        </w:tc>
        <w:tc>
          <w:tcPr>
            <w:tcW w:w="1531" w:type="pct"/>
          </w:tcPr>
          <w:p w14:paraId="47628418">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Price definition inconsistency risk</w:t>
            </w:r>
          </w:p>
        </w:tc>
        <w:tc>
          <w:tcPr>
            <w:tcW w:w="2454" w:type="pct"/>
          </w:tcPr>
          <w:p w14:paraId="352CD6E7">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Rule-based VAT adjustment for qualifying new dwellings</w:t>
            </w:r>
          </w:p>
        </w:tc>
      </w:tr>
      <w:tr w14:paraId="353EB094">
        <w:tc>
          <w:tcPr>
            <w:tcW w:w="1014" w:type="pct"/>
          </w:tcPr>
          <w:p w14:paraId="469C1D24">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Address</w:t>
            </w:r>
          </w:p>
        </w:tc>
        <w:tc>
          <w:tcPr>
            <w:tcW w:w="1531" w:type="pct"/>
          </w:tcPr>
          <w:p w14:paraId="2A5D598C">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Very high cardinality, noisy free text</w:t>
            </w:r>
          </w:p>
        </w:tc>
        <w:tc>
          <w:tcPr>
            <w:tcW w:w="2454" w:type="pct"/>
          </w:tcPr>
          <w:p w14:paraId="36AAB3F0">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Extract compact interpretable features, then drop raw address</w:t>
            </w:r>
          </w:p>
        </w:tc>
      </w:tr>
      <w:tr w14:paraId="1AB127B9">
        <w:tc>
          <w:tcPr>
            <w:tcW w:w="1014" w:type="pct"/>
          </w:tcPr>
          <w:p w14:paraId="57A7089E">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Eircode</w:t>
            </w:r>
          </w:p>
        </w:tc>
        <w:tc>
          <w:tcPr>
            <w:tcW w:w="1531" w:type="pct"/>
          </w:tcPr>
          <w:p w14:paraId="3383A002">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High missingness + high cardinality</w:t>
            </w:r>
          </w:p>
        </w:tc>
        <w:tc>
          <w:tcPr>
            <w:tcW w:w="2454" w:type="pct"/>
          </w:tcPr>
          <w:p w14:paraId="2E80551F">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Drop or convert only if stable transformed signal exists</w:t>
            </w:r>
          </w:p>
        </w:tc>
      </w:tr>
      <w:tr w14:paraId="44816B4C">
        <w:tc>
          <w:tcPr>
            <w:tcW w:w="1014" w:type="pct"/>
          </w:tcPr>
          <w:p w14:paraId="6CCEA10E">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Property Size Description</w:t>
            </w:r>
          </w:p>
        </w:tc>
        <w:tc>
          <w:tcPr>
            <w:tcW w:w="1531" w:type="pct"/>
          </w:tcPr>
          <w:p w14:paraId="6B61A981">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94.75% missing</w:t>
            </w:r>
          </w:p>
        </w:tc>
        <w:tc>
          <w:tcPr>
            <w:tcW w:w="2454" w:type="pct"/>
          </w:tcPr>
          <w:p w14:paraId="31730F7E">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Drop in final cleaned training set</w:t>
            </w:r>
          </w:p>
        </w:tc>
      </w:tr>
      <w:tr w14:paraId="146A6226">
        <w:tc>
          <w:tcPr>
            <w:tcW w:w="1014" w:type="pct"/>
          </w:tcPr>
          <w:p w14:paraId="130CF418">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Date of Sale</w:t>
            </w:r>
          </w:p>
        </w:tc>
        <w:tc>
          <w:tcPr>
            <w:tcW w:w="1531" w:type="pct"/>
          </w:tcPr>
          <w:p w14:paraId="3DC5D899">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Raw date not model-ready</w:t>
            </w:r>
          </w:p>
        </w:tc>
        <w:tc>
          <w:tcPr>
            <w:tcW w:w="2454" w:type="pct"/>
          </w:tcPr>
          <w:p w14:paraId="431914DC">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Derive </w:t>
            </w:r>
            <w:r>
              <w:rPr>
                <w:rStyle w:val="35"/>
                <w:rFonts w:hint="default" w:ascii="Times New Roman Regular" w:hAnsi="Times New Roman Regular" w:cs="Times New Roman Regular"/>
                <w:color w:val="auto"/>
                <w:sz w:val="22"/>
                <w:szCs w:val="22"/>
              </w:rPr>
              <w:t>Sale Year</w:t>
            </w:r>
            <w:r>
              <w:rPr>
                <w:rFonts w:hint="default" w:ascii="Times New Roman Regular" w:hAnsi="Times New Roman Regular" w:cs="Times New Roman Regular"/>
                <w:color w:val="auto"/>
                <w:sz w:val="22"/>
                <w:szCs w:val="22"/>
              </w:rPr>
              <w:t xml:space="preserve"> and </w:t>
            </w:r>
            <w:r>
              <w:rPr>
                <w:rStyle w:val="35"/>
                <w:rFonts w:hint="default" w:ascii="Times New Roman Regular" w:hAnsi="Times New Roman Regular" w:cs="Times New Roman Regular"/>
                <w:color w:val="auto"/>
                <w:sz w:val="22"/>
                <w:szCs w:val="22"/>
              </w:rPr>
              <w:t>Sale Month</w:t>
            </w:r>
          </w:p>
        </w:tc>
      </w:tr>
      <w:tr w14:paraId="6F78170D">
        <w:tc>
          <w:tcPr>
            <w:tcW w:w="1014" w:type="pct"/>
          </w:tcPr>
          <w:p w14:paraId="71B1D2A9">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Duplicates</w:t>
            </w:r>
          </w:p>
        </w:tc>
        <w:tc>
          <w:tcPr>
            <w:tcW w:w="1531" w:type="pct"/>
          </w:tcPr>
          <w:p w14:paraId="4ED22B41">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Exact duplicates present</w:t>
            </w:r>
          </w:p>
        </w:tc>
        <w:tc>
          <w:tcPr>
            <w:tcW w:w="2454" w:type="pct"/>
          </w:tcPr>
          <w:p w14:paraId="63FA3739">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Remove duplicate rows</w:t>
            </w:r>
          </w:p>
        </w:tc>
      </w:tr>
      <w:bookmarkEnd w:id="16"/>
    </w:tbl>
    <w:p w14:paraId="424AE6BE">
      <w:pPr>
        <w:pStyle w:val="4"/>
        <w:rPr>
          <w:rFonts w:hint="default" w:ascii="Times New Roman Regular" w:hAnsi="Times New Roman Regular" w:cs="Times New Roman Regular"/>
          <w:color w:val="auto"/>
          <w:sz w:val="22"/>
          <w:szCs w:val="22"/>
        </w:rPr>
      </w:pPr>
      <w:bookmarkStart w:id="17" w:name="modeling-safety-principles"/>
      <w:r>
        <w:rPr>
          <w:rFonts w:hint="default" w:ascii="Times New Roman Regular" w:hAnsi="Times New Roman Regular" w:cs="Times New Roman Regular"/>
          <w:color w:val="auto"/>
          <w:sz w:val="22"/>
          <w:szCs w:val="22"/>
        </w:rPr>
        <w:t>5.2 Modeling-Safety Principles</w:t>
      </w:r>
    </w:p>
    <w:p w14:paraId="76F27FD3">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Keep preprocessing deterministic and auditable.</w:t>
      </w:r>
    </w:p>
    <w:p w14:paraId="0E8CC90E">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Avoid leakage from target-derived transformations in predictors.</w:t>
      </w:r>
    </w:p>
    <w:p w14:paraId="524BC8FF">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Prefer robust target formulation for stable evaluation.</w:t>
      </w:r>
    </w:p>
    <w:p w14:paraId="46A996E3">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Ensure no missing values remain in the final DQP output dataset.</w:t>
      </w:r>
    </w:p>
    <w:bookmarkEnd w:id="17"/>
    <w:p w14:paraId="663A1372">
      <w:pPr>
        <w:pStyle w:val="4"/>
        <w:rPr>
          <w:rFonts w:hint="default" w:ascii="Times New Roman Regular" w:hAnsi="Times New Roman Regular" w:cs="Times New Roman Regular"/>
          <w:color w:val="auto"/>
          <w:sz w:val="22"/>
          <w:szCs w:val="22"/>
        </w:rPr>
      </w:pPr>
      <w:bookmarkStart w:id="18" w:name="risk-assessment"/>
      <w:r>
        <w:rPr>
          <w:rFonts w:hint="default" w:ascii="Times New Roman Regular" w:hAnsi="Times New Roman Regular" w:cs="Times New Roman Regular"/>
          <w:color w:val="auto"/>
          <w:sz w:val="22"/>
          <w:szCs w:val="22"/>
        </w:rPr>
        <w:t>6. Risk Assessment</w:t>
      </w:r>
    </w:p>
    <w:p w14:paraId="264BCC03">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If </w:t>
      </w:r>
      <w:r>
        <w:rPr>
          <w:rFonts w:hint="default" w:ascii="Times New Roman Regular" w:hAnsi="Times New Roman Regular" w:cs="Times New Roman Regular"/>
          <w:color w:val="auto"/>
          <w:sz w:val="22"/>
          <w:szCs w:val="22"/>
          <w:lang w:val="en-US"/>
        </w:rPr>
        <w:t xml:space="preserve"> </w:t>
      </w:r>
      <w:r>
        <w:rPr>
          <w:rFonts w:hint="default" w:ascii="Times New Roman Regular" w:hAnsi="Times New Roman Regular" w:cs="Times New Roman Regular"/>
          <w:color w:val="auto"/>
          <w:sz w:val="22"/>
          <w:szCs w:val="22"/>
        </w:rPr>
        <w:t>DQP actions are not applied, expected risks include: 1. Unstable model coefficients due to target outliers. 2. Overfitting and sparse matrices from raw high-cardinality text encoding. 3. Reduced reproducibility from ad-hoc preprocessing. 4. Weaker generalization due to unresolved price-definition inconsistency.</w:t>
      </w:r>
    </w:p>
    <w:bookmarkEnd w:id="18"/>
    <w:p w14:paraId="150F9E0A">
      <w:pPr>
        <w:pStyle w:val="4"/>
        <w:rPr>
          <w:rFonts w:hint="default" w:ascii="Times New Roman Regular" w:hAnsi="Times New Roman Regular" w:cs="Times New Roman Regular"/>
          <w:color w:val="auto"/>
          <w:sz w:val="22"/>
          <w:szCs w:val="22"/>
        </w:rPr>
      </w:pPr>
      <w:bookmarkStart w:id="19" w:name="conclusion"/>
      <w:r>
        <w:rPr>
          <w:rFonts w:hint="default" w:ascii="Times New Roman Regular" w:hAnsi="Times New Roman Regular" w:cs="Times New Roman Regular"/>
          <w:color w:val="auto"/>
          <w:sz w:val="22"/>
          <w:szCs w:val="22"/>
        </w:rPr>
        <w:t>7. Conclusion</w:t>
      </w:r>
    </w:p>
    <w:p w14:paraId="44DE0E19">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The training dataset is adequate for predictive modeling after targeted cleaning and transformation. The DQR confirms that the highest-impact interventions should focus on: - robust price handling, - location feature engineering, - explicit missingness strategy, - duplicate removal, - and feature-type finalization.</w:t>
      </w:r>
    </w:p>
    <w:p w14:paraId="38A61B92">
      <w:pPr>
        <w:pStyle w:val="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These decisions form the technical bridge from descriptive quality assessment (DQR) to executable cleaning policy (DQP), and they are expected to materially improve model stability and interpretability in later project stages.</w:t>
      </w:r>
    </w:p>
    <w:bookmarkEnd w:id="19"/>
    <w:p w14:paraId="4B7C1C63">
      <w:pPr>
        <w:pStyle w:val="4"/>
        <w:rPr>
          <w:rFonts w:hint="default" w:ascii="Times New Roman Regular" w:hAnsi="Times New Roman Regular" w:cs="Times New Roman Regular"/>
          <w:color w:val="auto"/>
          <w:sz w:val="22"/>
          <w:szCs w:val="22"/>
        </w:rPr>
      </w:pPr>
      <w:bookmarkStart w:id="20" w:name="Xf3640f8b9e99f474f1ae1014474b4d063776f8a"/>
      <w:r>
        <w:rPr>
          <w:rFonts w:hint="default" w:ascii="Times New Roman Regular" w:hAnsi="Times New Roman Regular" w:cs="Times New Roman Regular"/>
          <w:color w:val="auto"/>
          <w:sz w:val="22"/>
          <w:szCs w:val="22"/>
        </w:rPr>
        <w:t xml:space="preserve">8. Detailed DQR Procedure Alignment with </w:t>
      </w:r>
      <w:r>
        <w:rPr>
          <w:rStyle w:val="35"/>
          <w:rFonts w:hint="default" w:ascii="Times New Roman Regular" w:hAnsi="Times New Roman Regular" w:cs="Times New Roman Regular"/>
          <w:color w:val="auto"/>
          <w:sz w:val="22"/>
          <w:szCs w:val="22"/>
        </w:rPr>
        <w:t>project.ipynb</w:t>
      </w:r>
    </w:p>
    <w:p w14:paraId="2AC37B56">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This section adds the detailed DQR procedural items present in </w:t>
      </w:r>
      <w:r>
        <w:rPr>
          <w:rStyle w:val="35"/>
          <w:rFonts w:hint="default" w:ascii="Times New Roman Regular" w:hAnsi="Times New Roman Regular" w:cs="Times New Roman Regular"/>
          <w:color w:val="auto"/>
          <w:sz w:val="22"/>
          <w:szCs w:val="22"/>
        </w:rPr>
        <w:t>organize/project.ipynb</w:t>
      </w:r>
      <w:r>
        <w:rPr>
          <w:rFonts w:hint="default" w:ascii="Times New Roman Regular" w:hAnsi="Times New Roman Regular" w:cs="Times New Roman Regular"/>
          <w:color w:val="auto"/>
          <w:sz w:val="22"/>
          <w:szCs w:val="22"/>
        </w:rPr>
        <w:t xml:space="preserve"> and requested for alignment.</w:t>
      </w:r>
    </w:p>
    <w:p w14:paraId="58DF9079">
      <w:pPr>
        <w:pStyle w:val="5"/>
        <w:rPr>
          <w:rFonts w:hint="default" w:ascii="Times New Roman Regular" w:hAnsi="Times New Roman Regular" w:cs="Times New Roman Regular"/>
          <w:color w:val="auto"/>
          <w:sz w:val="22"/>
          <w:szCs w:val="22"/>
        </w:rPr>
      </w:pPr>
      <w:bookmarkStart w:id="21" w:name="data-type-conversion-raw---converted"/>
      <w:r>
        <w:rPr>
          <w:rFonts w:hint="default" w:ascii="Times New Roman Regular" w:hAnsi="Times New Roman Regular" w:cs="Times New Roman Regular"/>
          <w:color w:val="auto"/>
          <w:sz w:val="22"/>
          <w:szCs w:val="22"/>
        </w:rPr>
        <w:t>8.1  Data Type Conversion (Raw -&gt; Converted)</w:t>
      </w:r>
    </w:p>
    <w:tbl>
      <w:tblPr>
        <w:tblStyle w:val="28"/>
        <w:tblW w:w="5000" w:type="pct"/>
        <w:tblInd w:w="0" w:type="dxa"/>
        <w:tblLayout w:type="autofit"/>
        <w:tblCellMar>
          <w:top w:w="0" w:type="dxa"/>
          <w:left w:w="108" w:type="dxa"/>
          <w:bottom w:w="0" w:type="dxa"/>
          <w:right w:w="108" w:type="dxa"/>
        </w:tblCellMar>
      </w:tblPr>
      <w:tblGrid>
        <w:gridCol w:w="2058"/>
        <w:gridCol w:w="1316"/>
        <w:gridCol w:w="2063"/>
        <w:gridCol w:w="3419"/>
      </w:tblGrid>
      <w:tr w14:paraId="75957382">
        <w:tc>
          <w:p w14:paraId="16C13796">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Feature</w:t>
            </w:r>
          </w:p>
        </w:tc>
        <w:tc>
          <w:p w14:paraId="61F14DB4">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Raw Type</w:t>
            </w:r>
          </w:p>
        </w:tc>
        <w:tc>
          <w:p w14:paraId="6DE61013">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Converted Type</w:t>
            </w:r>
          </w:p>
        </w:tc>
        <w:tc>
          <w:p w14:paraId="3780E4C7">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Notes</w:t>
            </w:r>
          </w:p>
        </w:tc>
      </w:tr>
      <w:tr w14:paraId="17B058F1">
        <w:tc>
          <w:p w14:paraId="5F1D8942">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Date of Sale (dd/mm/yyyy)</w:t>
            </w:r>
          </w:p>
        </w:tc>
        <w:tc>
          <w:p w14:paraId="72B928AD">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string/object</w:t>
            </w:r>
          </w:p>
        </w:tc>
        <w:tc>
          <w:p w14:paraId="302BEDAE">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datetime64</w:t>
            </w:r>
          </w:p>
        </w:tc>
        <w:tc>
          <w:p w14:paraId="58816F86">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Parsed with </w:t>
            </w:r>
            <w:r>
              <w:rPr>
                <w:rStyle w:val="35"/>
                <w:rFonts w:hint="default" w:ascii="Times New Roman Regular" w:hAnsi="Times New Roman Regular" w:cs="Times New Roman Regular"/>
                <w:color w:val="auto"/>
                <w:sz w:val="22"/>
                <w:szCs w:val="22"/>
              </w:rPr>
              <w:t>dayfirst=True</w:t>
            </w:r>
            <w:r>
              <w:rPr>
                <w:rFonts w:hint="default" w:ascii="Times New Roman Regular" w:hAnsi="Times New Roman Regular" w:cs="Times New Roman Regular"/>
                <w:color w:val="auto"/>
                <w:sz w:val="22"/>
                <w:szCs w:val="22"/>
              </w:rPr>
              <w:t xml:space="preserve">; invalid values coerced to </w:t>
            </w:r>
            <w:r>
              <w:rPr>
                <w:rStyle w:val="35"/>
                <w:rFonts w:hint="default" w:ascii="Times New Roman Regular" w:hAnsi="Times New Roman Regular" w:cs="Times New Roman Regular"/>
                <w:color w:val="auto"/>
                <w:sz w:val="22"/>
                <w:szCs w:val="22"/>
              </w:rPr>
              <w:t>NaT</w:t>
            </w:r>
          </w:p>
        </w:tc>
      </w:tr>
      <w:tr w14:paraId="20EB499B">
        <w:tc>
          <w:p w14:paraId="3108E4C2">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Price (€)</w:t>
            </w:r>
          </w:p>
        </w:tc>
        <w:tc>
          <w:p w14:paraId="10051D5C">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string/object</w:t>
            </w:r>
          </w:p>
        </w:tc>
        <w:tc>
          <w:p w14:paraId="659D5C8A">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float64</w:t>
            </w:r>
          </w:p>
        </w:tc>
        <w:tc>
          <w:p w14:paraId="7948165E">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Currency symbol/comma removed, then numeric parse</w:t>
            </w:r>
          </w:p>
        </w:tc>
      </w:tr>
      <w:tr w14:paraId="5000BAB1">
        <w:tc>
          <w:p w14:paraId="1C90A94B">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County</w:t>
            </w:r>
          </w:p>
        </w:tc>
        <w:tc>
          <w:p w14:paraId="01CA2BAC">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string/object</w:t>
            </w:r>
          </w:p>
        </w:tc>
        <w:tc>
          <w:p w14:paraId="2078EC20">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category</w:t>
            </w:r>
          </w:p>
        </w:tc>
        <w:tc>
          <w:p w14:paraId="6150820A">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Low-cardinality categorical feature</w:t>
            </w:r>
          </w:p>
        </w:tc>
      </w:tr>
      <w:tr w14:paraId="0F4DD8D0">
        <w:tc>
          <w:p w14:paraId="75157D6D">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Not Full Market Price</w:t>
            </w:r>
          </w:p>
        </w:tc>
        <w:tc>
          <w:p w14:paraId="089BAB36">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string/object</w:t>
            </w:r>
          </w:p>
        </w:tc>
        <w:tc>
          <w:p w14:paraId="31B8A308">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category</w:t>
            </w:r>
          </w:p>
        </w:tc>
        <w:tc>
          <w:p w14:paraId="6D678FAF">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Binary categorical feature</w:t>
            </w:r>
          </w:p>
        </w:tc>
      </w:tr>
      <w:tr w14:paraId="36B13D65">
        <w:tc>
          <w:p w14:paraId="45419A2D">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VAT Exclusive</w:t>
            </w:r>
          </w:p>
        </w:tc>
        <w:tc>
          <w:p w14:paraId="4CA0D6D0">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string/object</w:t>
            </w:r>
          </w:p>
        </w:tc>
        <w:tc>
          <w:p w14:paraId="7F484503">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category</w:t>
            </w:r>
          </w:p>
        </w:tc>
        <w:tc>
          <w:p w14:paraId="49C86995">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Binary categorical feature</w:t>
            </w:r>
          </w:p>
        </w:tc>
      </w:tr>
      <w:tr w14:paraId="42F9E1F9">
        <w:tc>
          <w:p w14:paraId="15651760">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Description of Property</w:t>
            </w:r>
          </w:p>
        </w:tc>
        <w:tc>
          <w:p w14:paraId="747E77A7">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string/object</w:t>
            </w:r>
          </w:p>
        </w:tc>
        <w:tc>
          <w:p w14:paraId="56753155">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category</w:t>
            </w:r>
          </w:p>
        </w:tc>
        <w:tc>
          <w:p w14:paraId="057E0686">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Low-cardinality categorical feature</w:t>
            </w:r>
          </w:p>
        </w:tc>
      </w:tr>
      <w:tr w14:paraId="7E2866B0">
        <w:tc>
          <w:p w14:paraId="2A49165D">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Property Size Description</w:t>
            </w:r>
          </w:p>
        </w:tc>
        <w:tc>
          <w:p w14:paraId="39B010FB">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string/object</w:t>
            </w:r>
          </w:p>
        </w:tc>
        <w:tc>
          <w:p w14:paraId="339C9FE2">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category</w:t>
            </w:r>
          </w:p>
        </w:tc>
        <w:tc>
          <w:p w14:paraId="7324A288">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Sparse but standardized before final drop decision</w:t>
            </w:r>
          </w:p>
        </w:tc>
      </w:tr>
      <w:tr w14:paraId="16E15513">
        <w:tc>
          <w:p w14:paraId="09F888BD">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Address</w:t>
            </w:r>
          </w:p>
        </w:tc>
        <w:tc>
          <w:p w14:paraId="302E7030">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string/object</w:t>
            </w:r>
          </w:p>
        </w:tc>
        <w:tc>
          <w:p w14:paraId="182F7F5C">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string</w:t>
            </w:r>
            <w:r>
              <w:rPr>
                <w:rFonts w:hint="default" w:ascii="Times New Roman Regular" w:hAnsi="Times New Roman Regular" w:cs="Times New Roman Regular"/>
                <w:color w:val="auto"/>
                <w:sz w:val="22"/>
                <w:szCs w:val="22"/>
              </w:rPr>
              <w:t xml:space="preserve"> (kept raw in DQR stage)</w:t>
            </w:r>
          </w:p>
        </w:tc>
        <w:tc>
          <w:p w14:paraId="1DFC65F3">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High-cardinality field; transformed in DQP</w:t>
            </w:r>
          </w:p>
        </w:tc>
      </w:tr>
      <w:tr w14:paraId="2AAAB4C5">
        <w:tc>
          <w:p w14:paraId="56E18CB6">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Eircode</w:t>
            </w:r>
          </w:p>
        </w:tc>
        <w:tc>
          <w:p w14:paraId="5AF39E37">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string/object</w:t>
            </w:r>
          </w:p>
        </w:tc>
        <w:tc>
          <w:p w14:paraId="3318CCB6">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string</w:t>
            </w:r>
            <w:r>
              <w:rPr>
                <w:rFonts w:hint="default" w:ascii="Times New Roman Regular" w:hAnsi="Times New Roman Regular" w:cs="Times New Roman Regular"/>
                <w:color w:val="auto"/>
                <w:sz w:val="22"/>
                <w:szCs w:val="22"/>
              </w:rPr>
              <w:t xml:space="preserve"> (kept raw in DQR stage)</w:t>
            </w:r>
          </w:p>
        </w:tc>
        <w:tc>
          <w:p w14:paraId="101CECA2">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High-missing/high-cardinality field</w:t>
            </w:r>
          </w:p>
        </w:tc>
      </w:tr>
      <w:tr w14:paraId="02F767F9">
        <w:tc>
          <w:p w14:paraId="304EF133">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Sale Year</w:t>
            </w:r>
          </w:p>
        </w:tc>
        <w:tc>
          <w:p w14:paraId="77E28998">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N/A</w:t>
            </w:r>
          </w:p>
        </w:tc>
        <w:tc>
          <w:p w14:paraId="1923EA66">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Int64</w:t>
            </w:r>
            <w:r>
              <w:rPr>
                <w:rFonts w:hint="default" w:ascii="Times New Roman Regular" w:hAnsi="Times New Roman Regular" w:cs="Times New Roman Regular"/>
                <w:color w:val="auto"/>
                <w:sz w:val="22"/>
                <w:szCs w:val="22"/>
              </w:rPr>
              <w:t xml:space="preserve"> (derived)</w:t>
            </w:r>
          </w:p>
        </w:tc>
        <w:tc>
          <w:p w14:paraId="0416E69F">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Derived from parsed sale date</w:t>
            </w:r>
          </w:p>
        </w:tc>
      </w:tr>
      <w:tr w14:paraId="6F833230">
        <w:tc>
          <w:p w14:paraId="31A52C30">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Sale Month</w:t>
            </w:r>
          </w:p>
        </w:tc>
        <w:tc>
          <w:p w14:paraId="0D999E51">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N/A</w:t>
            </w:r>
          </w:p>
        </w:tc>
        <w:tc>
          <w:p w14:paraId="3BED68FF">
            <w:pPr>
              <w:pStyle w:val="24"/>
              <w:jc w:val="left"/>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Int64</w:t>
            </w:r>
            <w:r>
              <w:rPr>
                <w:rFonts w:hint="default" w:ascii="Times New Roman Regular" w:hAnsi="Times New Roman Regular" w:cs="Times New Roman Regular"/>
                <w:color w:val="auto"/>
                <w:sz w:val="22"/>
                <w:szCs w:val="22"/>
              </w:rPr>
              <w:t xml:space="preserve"> (derived)</w:t>
            </w:r>
          </w:p>
        </w:tc>
        <w:tc>
          <w:p w14:paraId="3276F1FE">
            <w:pPr>
              <w:pStyle w:val="24"/>
              <w:jc w:val="left"/>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Derived from parsed sale date</w:t>
            </w:r>
          </w:p>
        </w:tc>
      </w:tr>
      <w:bookmarkEnd w:id="21"/>
    </w:tbl>
    <w:p w14:paraId="1E20162B">
      <w:pPr>
        <w:pStyle w:val="5"/>
        <w:rPr>
          <w:rFonts w:hint="default" w:ascii="Times New Roman Regular" w:hAnsi="Times New Roman Regular" w:cs="Times New Roman Regular"/>
          <w:color w:val="auto"/>
          <w:sz w:val="22"/>
          <w:szCs w:val="22"/>
        </w:rPr>
      </w:pPr>
      <w:bookmarkStart w:id="22" w:name="X2ef300965bd2d4ba9d61739db6c581bf3c31010"/>
      <w:r>
        <w:rPr>
          <w:rFonts w:hint="default" w:ascii="Times New Roman Regular" w:hAnsi="Times New Roman Regular" w:cs="Times New Roman Regular"/>
          <w:color w:val="auto"/>
          <w:sz w:val="22"/>
          <w:szCs w:val="22"/>
        </w:rPr>
        <w:t>8.2 Save Interim Cleaned Dataset (Intermediate Artifact)</w:t>
      </w:r>
    </w:p>
    <w:p w14:paraId="3FE5B87F">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After core DQR preprocessing (type parsing and duplicate handling), an interim cleaned version is saved for traceability and downstream checks before DQP rule execution.</w:t>
      </w:r>
    </w:p>
    <w:p w14:paraId="5F6E752A">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Purpose: reproducibility and stage-to-stage audit trail.</w:t>
      </w:r>
    </w:p>
    <w:p w14:paraId="1A2C80BD">
      <w:pPr>
        <w:pStyle w:val="24"/>
        <w:numPr>
          <w:ilvl w:val="0"/>
          <w:numId w:val="2"/>
        </w:numP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Scope: still a DQR-stage artifact (not final DQP output).</w:t>
      </w:r>
    </w:p>
    <w:bookmarkEnd w:id="22"/>
    <w:p w14:paraId="2A6DA0B5">
      <w:pPr>
        <w:pStyle w:val="5"/>
        <w:rPr>
          <w:rFonts w:hint="default" w:ascii="Times New Roman Regular" w:hAnsi="Times New Roman Regular" w:cs="Times New Roman Regular"/>
          <w:color w:val="auto"/>
          <w:sz w:val="22"/>
          <w:szCs w:val="22"/>
        </w:rPr>
      </w:pPr>
      <w:bookmarkStart w:id="23" w:name="table-structure-standalone"/>
      <w:r>
        <w:rPr>
          <w:rFonts w:hint="default" w:ascii="Times New Roman Regular" w:hAnsi="Times New Roman Regular" w:cs="Times New Roman Regular"/>
          <w:color w:val="auto"/>
          <w:sz w:val="22"/>
          <w:szCs w:val="22"/>
        </w:rPr>
        <w:t>8.3 Table Structure (Standalone)</w:t>
      </w:r>
    </w:p>
    <w:p w14:paraId="4CD65ECB">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To match the notebook structure, descriptive statistics are presented in three separate blocks:</w:t>
      </w:r>
    </w:p>
    <w:p w14:paraId="0B36158C">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 xml:space="preserve"> Numeric Features Summary Table</w:t>
      </w:r>
    </w:p>
    <w:p w14:paraId="35D148AE">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count, mean, std, min, quartiles, max for numeric variables.</w:t>
      </w:r>
    </w:p>
    <w:p w14:paraId="5DEF3992">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Categorical Features Summary Table</w:t>
      </w:r>
    </w:p>
    <w:p w14:paraId="0A4873DE">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non-null count, unique count, top category, top frequency.</w:t>
      </w:r>
    </w:p>
    <w:p w14:paraId="0719EAE9">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Style w:val="35"/>
          <w:rFonts w:hint="default" w:ascii="Times New Roman Regular" w:hAnsi="Times New Roman Regular" w:cs="Times New Roman Regular"/>
          <w:color w:val="auto"/>
          <w:sz w:val="22"/>
          <w:szCs w:val="22"/>
        </w:rPr>
        <w:t>High-Cardinality String Features</w:t>
      </w:r>
    </w:p>
    <w:p w14:paraId="57E4FD00">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explicit cardinality report for raw string features (notably </w:t>
      </w:r>
      <w:r>
        <w:rPr>
          <w:rStyle w:val="35"/>
          <w:rFonts w:hint="default" w:ascii="Times New Roman Regular" w:hAnsi="Times New Roman Regular" w:cs="Times New Roman Regular"/>
          <w:color w:val="auto"/>
          <w:sz w:val="22"/>
          <w:szCs w:val="22"/>
        </w:rPr>
        <w:t>Address</w:t>
      </w: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Eircode</w:t>
      </w:r>
      <w:r>
        <w:rPr>
          <w:rFonts w:hint="default" w:ascii="Times New Roman Regular" w:hAnsi="Times New Roman Regular" w:cs="Times New Roman Regular"/>
          <w:color w:val="auto"/>
          <w:sz w:val="22"/>
          <w:szCs w:val="22"/>
        </w:rPr>
        <w:t>) and model-usability commentary.</w:t>
      </w:r>
    </w:p>
    <w:bookmarkEnd w:id="23"/>
    <w:p w14:paraId="533CD2CD">
      <w:pPr>
        <w:pStyle w:val="5"/>
        <w:rPr>
          <w:rFonts w:hint="default" w:ascii="Times New Roman Regular" w:hAnsi="Times New Roman Regular" w:cs="Times New Roman Regular"/>
          <w:color w:val="auto"/>
          <w:sz w:val="22"/>
          <w:szCs w:val="22"/>
        </w:rPr>
      </w:pPr>
      <w:bookmarkStart w:id="24" w:name="vat-consistency-check-process-detail"/>
      <w:r>
        <w:rPr>
          <w:rFonts w:hint="default" w:ascii="Times New Roman Regular" w:hAnsi="Times New Roman Regular" w:cs="Times New Roman Regular"/>
          <w:color w:val="auto"/>
          <w:sz w:val="22"/>
          <w:szCs w:val="22"/>
        </w:rPr>
        <w:t>8.4  VAT Consistency Check (Process Detail)</w:t>
      </w:r>
    </w:p>
    <w:p w14:paraId="2B68F0CF">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A rule-consistency check is performed at DQR stage before DQP adjustment:</w:t>
      </w:r>
    </w:p>
    <w:p w14:paraId="143DF049">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Build cross-tab between </w:t>
      </w:r>
      <w:r>
        <w:rPr>
          <w:rStyle w:val="35"/>
          <w:rFonts w:hint="default" w:ascii="Times New Roman Regular" w:hAnsi="Times New Roman Regular" w:cs="Times New Roman Regular"/>
          <w:color w:val="auto"/>
          <w:sz w:val="22"/>
          <w:szCs w:val="22"/>
        </w:rPr>
        <w:t>VAT Exclusive</w:t>
      </w:r>
      <w:r>
        <w:rPr>
          <w:rFonts w:hint="default" w:ascii="Times New Roman Regular" w:hAnsi="Times New Roman Regular" w:cs="Times New Roman Regular"/>
          <w:color w:val="auto"/>
          <w:sz w:val="22"/>
          <w:szCs w:val="22"/>
        </w:rPr>
        <w:t xml:space="preserve"> and </w:t>
      </w:r>
      <w:r>
        <w:rPr>
          <w:rStyle w:val="35"/>
          <w:rFonts w:hint="default" w:ascii="Times New Roman Regular" w:hAnsi="Times New Roman Regular" w:cs="Times New Roman Regular"/>
          <w:color w:val="auto"/>
          <w:sz w:val="22"/>
          <w:szCs w:val="22"/>
        </w:rPr>
        <w:t>Description of Property</w:t>
      </w:r>
      <w:r>
        <w:rPr>
          <w:rFonts w:hint="default" w:ascii="Times New Roman Regular" w:hAnsi="Times New Roman Regular" w:cs="Times New Roman Regular"/>
          <w:color w:val="auto"/>
          <w:sz w:val="22"/>
          <w:szCs w:val="22"/>
        </w:rPr>
        <w:t>.</w:t>
      </w:r>
    </w:p>
    <w:p w14:paraId="5FE75778">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Verify that VAT-related positive cases are concentrated in </w:t>
      </w:r>
      <w:r>
        <w:rPr>
          <w:rStyle w:val="35"/>
          <w:rFonts w:hint="default" w:ascii="Times New Roman Regular" w:hAnsi="Times New Roman Regular" w:cs="Times New Roman Regular"/>
          <w:color w:val="auto"/>
          <w:sz w:val="22"/>
          <w:szCs w:val="22"/>
        </w:rPr>
        <w:t>New Dwelling house /Apartment</w:t>
      </w:r>
      <w:r>
        <w:rPr>
          <w:rFonts w:hint="default" w:ascii="Times New Roman Regular" w:hAnsi="Times New Roman Regular" w:cs="Times New Roman Regular"/>
          <w:color w:val="auto"/>
          <w:sz w:val="22"/>
          <w:szCs w:val="22"/>
        </w:rPr>
        <w:t>.</w:t>
      </w:r>
    </w:p>
    <w:p w14:paraId="03E2A9AF">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Flag potential inconsistencies for DQP handling.</w:t>
      </w:r>
    </w:p>
    <w:p w14:paraId="141B25AC">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This provides the direct rationale for the DQP rule: - for qualifying new dwellings with </w:t>
      </w:r>
      <w:r>
        <w:rPr>
          <w:rStyle w:val="35"/>
          <w:rFonts w:hint="default" w:ascii="Times New Roman Regular" w:hAnsi="Times New Roman Regular" w:cs="Times New Roman Regular"/>
          <w:color w:val="auto"/>
          <w:sz w:val="22"/>
          <w:szCs w:val="22"/>
        </w:rPr>
        <w:t>VAT Exclusive = Yes</w:t>
      </w:r>
      <w:r>
        <w:rPr>
          <w:rFonts w:hint="default" w:ascii="Times New Roman Regular" w:hAnsi="Times New Roman Regular" w:cs="Times New Roman Regular"/>
          <w:color w:val="auto"/>
          <w:sz w:val="22"/>
          <w:szCs w:val="22"/>
        </w:rPr>
        <w:t>, create VAT-adjusted price representation.</w:t>
      </w:r>
    </w:p>
    <w:bookmarkEnd w:id="24"/>
    <w:p w14:paraId="6602C45C">
      <w:pPr>
        <w:pStyle w:val="5"/>
        <w:rPr>
          <w:rFonts w:hint="default" w:ascii="Times New Roman Regular" w:hAnsi="Times New Roman Regular" w:cs="Times New Roman Regular"/>
          <w:color w:val="auto"/>
          <w:sz w:val="22"/>
          <w:szCs w:val="22"/>
        </w:rPr>
      </w:pPr>
      <w:bookmarkStart w:id="25" w:name="X332953ae793947dad398546da26ca7b48bc4697"/>
      <w:r>
        <w:rPr>
          <w:rFonts w:hint="default" w:ascii="Times New Roman Regular" w:hAnsi="Times New Roman Regular" w:cs="Times New Roman Regular"/>
          <w:color w:val="auto"/>
          <w:sz w:val="22"/>
          <w:szCs w:val="22"/>
        </w:rPr>
        <w:t>8.5 Export DQR Summary Tables (Action + Filenames)</w:t>
      </w:r>
    </w:p>
    <w:p w14:paraId="02FA24A9">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The DQR summary exports are explicitly produced as CSV files.</w:t>
      </w:r>
    </w:p>
    <w:p w14:paraId="13C60B41">
      <w:pPr>
        <w:pStyle w:val="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From </w:t>
      </w:r>
      <w:r>
        <w:rPr>
          <w:rStyle w:val="35"/>
          <w:rFonts w:hint="default" w:ascii="Times New Roman Regular" w:hAnsi="Times New Roman Regular" w:cs="Times New Roman Regular"/>
          <w:color w:val="auto"/>
          <w:sz w:val="22"/>
          <w:szCs w:val="22"/>
        </w:rPr>
        <w:t>project.ipynb</w:t>
      </w:r>
      <w:r>
        <w:rPr>
          <w:rFonts w:hint="default" w:ascii="Times New Roman Regular" w:hAnsi="Times New Roman Regular" w:cs="Times New Roman Regular"/>
          <w:color w:val="auto"/>
          <w:sz w:val="22"/>
          <w:szCs w:val="22"/>
        </w:rPr>
        <w:t xml:space="preserve">: - </w:t>
      </w:r>
      <w:r>
        <w:rPr>
          <w:rStyle w:val="35"/>
          <w:rFonts w:hint="default" w:ascii="Times New Roman Regular" w:hAnsi="Times New Roman Regular" w:cs="Times New Roman Regular"/>
          <w:color w:val="auto"/>
          <w:sz w:val="22"/>
          <w:szCs w:val="22"/>
        </w:rPr>
        <w:t>DQR-NumericFeatures.csv</w:t>
      </w:r>
      <w:r>
        <w:rPr>
          <w:rFonts w:hint="default" w:ascii="Times New Roman Regular" w:hAnsi="Times New Roman Regular" w:cs="Times New Roman Regular"/>
          <w:color w:val="auto"/>
          <w:sz w:val="22"/>
          <w:szCs w:val="22"/>
        </w:rPr>
        <w:t xml:space="preserve"> - </w:t>
      </w:r>
      <w:r>
        <w:rPr>
          <w:rStyle w:val="35"/>
          <w:rFonts w:hint="default" w:ascii="Times New Roman Regular" w:hAnsi="Times New Roman Regular" w:cs="Times New Roman Regular"/>
          <w:color w:val="auto"/>
          <w:sz w:val="22"/>
          <w:szCs w:val="22"/>
        </w:rPr>
        <w:t>DQR-CategoricalFeatures.csv</w:t>
      </w:r>
    </w:p>
    <w:p w14:paraId="482E7E35">
      <w:pPr>
        <w:pStyle w:val="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From standalone </w:t>
      </w:r>
      <w:r>
        <w:rPr>
          <w:rStyle w:val="35"/>
          <w:rFonts w:hint="default" w:ascii="Times New Roman Regular" w:hAnsi="Times New Roman Regular" w:cs="Times New Roman Regular"/>
          <w:color w:val="auto"/>
          <w:sz w:val="22"/>
          <w:szCs w:val="22"/>
        </w:rPr>
        <w:t>DQR.ipynb</w:t>
      </w:r>
      <w:r>
        <w:rPr>
          <w:rFonts w:hint="default" w:ascii="Times New Roman Regular" w:hAnsi="Times New Roman Regular" w:cs="Times New Roman Regular"/>
          <w:color w:val="auto"/>
          <w:sz w:val="22"/>
          <w:szCs w:val="22"/>
        </w:rPr>
        <w:t xml:space="preserve"> workflow (naming variant): </w:t>
      </w:r>
    </w:p>
    <w:bookmarkEnd w:id="25"/>
    <w:p w14:paraId="3B1817A9">
      <w:pPr>
        <w:pStyle w:val="5"/>
        <w:numPr>
          <w:ilvl w:val="0"/>
          <w:numId w:val="6"/>
        </w:numPr>
        <w:ind w:left="420" w:leftChars="0" w:hanging="420" w:firstLineChars="0"/>
        <w:rPr>
          <w:rStyle w:val="35"/>
          <w:rFonts w:hint="default" w:ascii="Times New Roman Regular" w:hAnsi="Times New Roman Regular" w:eastAsia="宋体" w:cs="Times New Roman Regular"/>
          <w:b w:val="0"/>
          <w:bCs w:val="0"/>
          <w:color w:val="auto"/>
          <w:szCs w:val="22"/>
          <w:lang w:val="en-US" w:eastAsia="en-US" w:bidi="ar-SA"/>
        </w:rPr>
      </w:pPr>
      <w:bookmarkStart w:id="26" w:name="structured-findings-subsection-form"/>
      <w:r>
        <w:rPr>
          <w:rStyle w:val="35"/>
          <w:rFonts w:hint="default" w:ascii="Times New Roman Regular" w:hAnsi="Times New Roman Regular" w:eastAsia="宋体" w:cs="Times New Roman Regular"/>
          <w:b w:val="0"/>
          <w:bCs w:val="0"/>
          <w:color w:val="auto"/>
          <w:szCs w:val="22"/>
          <w:lang w:val="en-US" w:eastAsia="en-US" w:bidi="ar-SA"/>
        </w:rPr>
        <w:t>train-cleaned.csv</w:t>
      </w:r>
    </w:p>
    <w:p w14:paraId="7970F0B4">
      <w:pPr>
        <w:pStyle w:val="5"/>
        <w:numPr>
          <w:ilvl w:val="0"/>
          <w:numId w:val="6"/>
        </w:numPr>
        <w:ind w:left="420" w:leftChars="0" w:hanging="420" w:firstLineChars="0"/>
        <w:rPr>
          <w:rStyle w:val="35"/>
          <w:rFonts w:hint="default" w:ascii="Times New Roman Regular" w:hAnsi="Times New Roman Regular" w:eastAsia="宋体" w:cs="Times New Roman Regular"/>
          <w:b w:val="0"/>
          <w:bCs w:val="0"/>
          <w:color w:val="auto"/>
          <w:szCs w:val="22"/>
          <w:lang w:val="en-US" w:eastAsia="en-US" w:bidi="ar-SA"/>
        </w:rPr>
      </w:pPr>
      <w:r>
        <w:rPr>
          <w:rStyle w:val="35"/>
          <w:rFonts w:hint="default" w:ascii="Times New Roman Regular" w:hAnsi="Times New Roman Regular" w:eastAsia="宋体" w:cs="Times New Roman Regular"/>
          <w:b w:val="0"/>
          <w:bCs w:val="0"/>
          <w:color w:val="auto"/>
          <w:szCs w:val="22"/>
          <w:lang w:val="en-US" w:eastAsia="en-US" w:bidi="ar-SA"/>
        </w:rPr>
        <w:t>DQR-NumericFeatures.csv</w:t>
      </w:r>
    </w:p>
    <w:p w14:paraId="2407DD69">
      <w:pPr>
        <w:pStyle w:val="5"/>
        <w:numPr>
          <w:ilvl w:val="0"/>
          <w:numId w:val="6"/>
        </w:numPr>
        <w:ind w:left="420" w:leftChars="0" w:hanging="420" w:firstLineChars="0"/>
        <w:rPr>
          <w:rStyle w:val="35"/>
          <w:rFonts w:hint="default" w:ascii="Times New Roman Regular" w:hAnsi="Times New Roman Regular" w:eastAsia="宋体" w:cs="Times New Roman Regular"/>
          <w:b w:val="0"/>
          <w:bCs w:val="0"/>
          <w:color w:val="auto"/>
          <w:szCs w:val="22"/>
          <w:lang w:val="en-US" w:eastAsia="en-US" w:bidi="ar-SA"/>
        </w:rPr>
      </w:pPr>
      <w:r>
        <w:rPr>
          <w:rStyle w:val="35"/>
          <w:rFonts w:hint="default" w:ascii="Times New Roman Regular" w:hAnsi="Times New Roman Regular" w:eastAsia="宋体" w:cs="Times New Roman Regular"/>
          <w:b w:val="0"/>
          <w:bCs w:val="0"/>
          <w:color w:val="auto"/>
          <w:szCs w:val="22"/>
          <w:lang w:val="en-US" w:eastAsia="en-US" w:bidi="ar-SA"/>
        </w:rPr>
        <w:t>DQR-CategoricalFeatures.csv8.6 Structured Findings (Subsection Form)</w:t>
      </w:r>
    </w:p>
    <w:p w14:paraId="1C123E28">
      <w:pPr>
        <w:pStyle w:val="23"/>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To mirror notebook structure, DQR findings are grouped as:</w:t>
      </w:r>
    </w:p>
    <w:p w14:paraId="03D58FC5">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Missing Value Issues</w:t>
      </w:r>
      <w:r>
        <w:rPr>
          <w:rFonts w:hint="default" w:ascii="Times New Roman Regular" w:hAnsi="Times New Roman Regular" w:cs="Times New Roman Regular"/>
          <w:color w:val="auto"/>
          <w:sz w:val="22"/>
          <w:szCs w:val="22"/>
        </w:rPr>
        <w:t>: concentrated high missing (</w:t>
      </w:r>
      <w:r>
        <w:rPr>
          <w:rStyle w:val="35"/>
          <w:rFonts w:hint="default" w:ascii="Times New Roman Regular" w:hAnsi="Times New Roman Regular" w:cs="Times New Roman Regular"/>
          <w:color w:val="auto"/>
          <w:sz w:val="22"/>
          <w:szCs w:val="22"/>
        </w:rPr>
        <w:t>Property Size Description</w:t>
      </w:r>
      <w:r>
        <w:rPr>
          <w:rFonts w:hint="default" w:ascii="Times New Roman Regular" w:hAnsi="Times New Roman Regular" w:cs="Times New Roman Regular"/>
          <w:color w:val="auto"/>
          <w:sz w:val="22"/>
          <w:szCs w:val="22"/>
        </w:rPr>
        <w:t xml:space="preserve">, </w:t>
      </w:r>
      <w:r>
        <w:rPr>
          <w:rStyle w:val="35"/>
          <w:rFonts w:hint="default" w:ascii="Times New Roman Regular" w:hAnsi="Times New Roman Regular" w:cs="Times New Roman Regular"/>
          <w:color w:val="auto"/>
          <w:sz w:val="22"/>
          <w:szCs w:val="22"/>
        </w:rPr>
        <w:t>Eircode</w:t>
      </w:r>
      <w:r>
        <w:rPr>
          <w:rFonts w:hint="default" w:ascii="Times New Roman Regular" w:hAnsi="Times New Roman Regular" w:cs="Times New Roman Regular"/>
          <w:color w:val="auto"/>
          <w:sz w:val="22"/>
          <w:szCs w:val="22"/>
        </w:rPr>
        <w:t>).</w:t>
      </w:r>
    </w:p>
    <w:p w14:paraId="2EF78858">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Structural Issues</w:t>
      </w:r>
      <w:r>
        <w:rPr>
          <w:rFonts w:hint="default" w:ascii="Times New Roman Regular" w:hAnsi="Times New Roman Regular" w:cs="Times New Roman Regular"/>
          <w:color w:val="auto"/>
          <w:sz w:val="22"/>
          <w:szCs w:val="22"/>
        </w:rPr>
        <w:t>: duplicates and field usability constraints.</w:t>
      </w:r>
    </w:p>
    <w:p w14:paraId="4B67A8B3">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Distribution &amp; Outlier Issues</w:t>
      </w:r>
      <w:r>
        <w:rPr>
          <w:rFonts w:hint="default" w:ascii="Times New Roman Regular" w:hAnsi="Times New Roman Regular" w:cs="Times New Roman Regular"/>
          <w:color w:val="auto"/>
          <w:sz w:val="22"/>
          <w:szCs w:val="22"/>
        </w:rPr>
        <w:t>: heavy right tail in price and extreme values.</w:t>
      </w:r>
    </w:p>
    <w:p w14:paraId="567D57BE">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Logical Consistency Issues</w:t>
      </w:r>
      <w:r>
        <w:rPr>
          <w:rFonts w:hint="default" w:ascii="Times New Roman Regular" w:hAnsi="Times New Roman Regular" w:cs="Times New Roman Regular"/>
          <w:color w:val="auto"/>
          <w:sz w:val="22"/>
          <w:szCs w:val="22"/>
        </w:rPr>
        <w:t>: VAT-related business-rule consistency.</w:t>
      </w:r>
    </w:p>
    <w:p w14:paraId="72DB0FAB">
      <w:pPr>
        <w:pStyle w:val="24"/>
        <w:numPr>
          <w:ilvl w:val="0"/>
          <w:numId w:val="6"/>
        </w:numPr>
        <w:ind w:left="420" w:leftChars="0" w:hanging="420" w:firstLineChars="0"/>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b/>
          <w:bCs/>
          <w:color w:val="auto"/>
          <w:sz w:val="22"/>
          <w:szCs w:val="22"/>
        </w:rPr>
        <w:t>Feature Usability Summary</w:t>
      </w:r>
      <w:r>
        <w:rPr>
          <w:rFonts w:hint="default" w:ascii="Times New Roman Regular" w:hAnsi="Times New Roman Regular" w:cs="Times New Roman Regular"/>
          <w:color w:val="auto"/>
          <w:sz w:val="22"/>
          <w:szCs w:val="22"/>
        </w:rPr>
        <w:t>: keep/transform/drop guidance for DQP.</w:t>
      </w:r>
      <w:bookmarkEnd w:id="20"/>
      <w:bookmarkEnd w:id="26"/>
      <w:bookmarkStart w:id="27" w:name="appendix"/>
    </w:p>
    <w:p w14:paraId="6B1E1D7C">
      <w:pPr>
        <w:pStyle w:val="24"/>
        <w:numPr>
          <w:numId w:val="0"/>
        </w:numPr>
        <w:spacing w:before="36" w:after="36"/>
        <w:rPr>
          <w:rFonts w:hint="default" w:ascii="Times New Roman Regular" w:hAnsi="Times New Roman Regular" w:cs="Times New Roman Regular"/>
          <w:color w:val="auto"/>
          <w:sz w:val="22"/>
          <w:szCs w:val="22"/>
        </w:rPr>
      </w:pPr>
    </w:p>
    <w:p w14:paraId="72EC5750">
      <w:pPr>
        <w:pStyle w:val="24"/>
        <w:numPr>
          <w:numId w:val="0"/>
        </w:numPr>
        <w:spacing w:before="36" w:after="36"/>
        <w:rPr>
          <w:rFonts w:hint="default" w:ascii="Times New Roman Regular" w:hAnsi="Times New Roman Regular" w:cs="Times New Roman Regular"/>
          <w:color w:val="auto"/>
          <w:sz w:val="22"/>
          <w:szCs w:val="22"/>
        </w:rPr>
      </w:pPr>
    </w:p>
    <w:p w14:paraId="51A3A3EE">
      <w:pPr>
        <w:pStyle w:val="24"/>
        <w:numPr>
          <w:numId w:val="0"/>
        </w:numPr>
        <w:spacing w:before="36" w:after="36"/>
        <w:rPr>
          <w:rFonts w:hint="default" w:ascii="Times New Roman Regular" w:hAnsi="Times New Roman Regular" w:cs="Times New Roman Regular"/>
          <w:color w:val="auto"/>
          <w:sz w:val="22"/>
          <w:szCs w:val="22"/>
        </w:rPr>
      </w:pPr>
    </w:p>
    <w:p w14:paraId="0527A07C">
      <w:pPr>
        <w:pStyle w:val="24"/>
        <w:numPr>
          <w:numId w:val="0"/>
        </w:numPr>
        <w:spacing w:before="36" w:after="36"/>
        <w:rPr>
          <w:rFonts w:hint="default" w:ascii="Times New Roman Regular" w:hAnsi="Times New Roman Regular" w:cs="Times New Roman Regular"/>
          <w:color w:val="auto"/>
          <w:sz w:val="22"/>
          <w:szCs w:val="22"/>
        </w:rPr>
      </w:pPr>
    </w:p>
    <w:p w14:paraId="12EF079D">
      <w:pPr>
        <w:pStyle w:val="24"/>
        <w:numPr>
          <w:numId w:val="0"/>
        </w:numPr>
        <w:spacing w:before="36" w:after="36"/>
        <w:rPr>
          <w:rFonts w:hint="default" w:ascii="Times New Roman Regular" w:hAnsi="Times New Roman Regular" w:cs="Times New Roman Regular"/>
          <w:color w:val="auto"/>
          <w:sz w:val="22"/>
          <w:szCs w:val="22"/>
        </w:rPr>
      </w:pPr>
    </w:p>
    <w:p w14:paraId="17BECD9E">
      <w:pPr>
        <w:pStyle w:val="24"/>
        <w:numPr>
          <w:numId w:val="0"/>
        </w:numPr>
        <w:spacing w:before="36" w:after="36"/>
        <w:rPr>
          <w:rFonts w:hint="default" w:ascii="Times New Roman Regular" w:hAnsi="Times New Roman Regular" w:cs="Times New Roman Regular"/>
          <w:color w:val="auto"/>
          <w:sz w:val="22"/>
          <w:szCs w:val="22"/>
        </w:rPr>
      </w:pPr>
    </w:p>
    <w:p w14:paraId="3219508A">
      <w:pPr>
        <w:pStyle w:val="24"/>
        <w:numPr>
          <w:numId w:val="0"/>
        </w:numPr>
        <w:spacing w:before="36" w:after="36"/>
        <w:rPr>
          <w:rFonts w:hint="default" w:ascii="Times New Roman Regular" w:hAnsi="Times New Roman Regular" w:cs="Times New Roman Regular"/>
          <w:color w:val="auto"/>
          <w:sz w:val="22"/>
          <w:szCs w:val="22"/>
        </w:rPr>
      </w:pPr>
    </w:p>
    <w:p w14:paraId="5467A479">
      <w:pPr>
        <w:pStyle w:val="4"/>
        <w:rPr>
          <w:color w:val="auto"/>
        </w:rPr>
      </w:pPr>
      <w:bookmarkStart w:id="28" w:name="X941d9119ebdfc274f49ab18e8f7e34c38e37dc3"/>
      <w:r>
        <w:rPr>
          <w:color w:val="auto"/>
        </w:rPr>
        <w:t xml:space="preserve">Appendix A: DQR Code-Generated Figures and Tables (from </w:t>
      </w:r>
      <w:r>
        <w:rPr>
          <w:rStyle w:val="35"/>
          <w:color w:val="auto"/>
        </w:rPr>
        <w:t>organize/project.ipynb</w:t>
      </w:r>
      <w:r>
        <w:rPr>
          <w:color w:val="auto"/>
        </w:rPr>
        <w:t>)</w:t>
      </w:r>
    </w:p>
    <w:p w14:paraId="2D5B8EF8">
      <w:pPr>
        <w:pStyle w:val="23"/>
        <w:rPr>
          <w:color w:val="auto"/>
        </w:rPr>
      </w:pPr>
      <w:r>
        <w:rPr>
          <w:color w:val="auto"/>
        </w:rPr>
        <w:t>This appendix lists outputs generated by DQR code cells, with section mapping and brief descriptions.</w:t>
      </w:r>
    </w:p>
    <w:p w14:paraId="0F373A75">
      <w:pPr>
        <w:pStyle w:val="5"/>
        <w:rPr>
          <w:color w:val="auto"/>
        </w:rPr>
      </w:pPr>
      <w:bookmarkStart w:id="29" w:name="a.1-figures"/>
      <w:r>
        <w:rPr>
          <w:color w:val="auto"/>
        </w:rPr>
        <w:t>A.1 Figures</w:t>
      </w:r>
    </w:p>
    <w:p w14:paraId="24CA125A">
      <w:pPr>
        <w:pStyle w:val="6"/>
        <w:rPr>
          <w:color w:val="auto"/>
        </w:rPr>
      </w:pPr>
      <w:bookmarkStart w:id="30" w:name="X06d3e227706347fea0e276edfa860a55b3e9ce7"/>
      <w:r>
        <w:rPr>
          <w:color w:val="auto"/>
        </w:rPr>
        <w:t>Figure A1: Output from cell 28 (1.7 Missing Value Visualisation)</w:t>
      </w:r>
    </w:p>
    <w:p w14:paraId="273D6726">
      <w:pPr>
        <w:pStyle w:val="24"/>
        <w:numPr>
          <w:ilvl w:val="0"/>
          <w:numId w:val="7"/>
        </w:numPr>
        <w:rPr>
          <w:color w:val="auto"/>
        </w:rPr>
      </w:pPr>
      <w:r>
        <w:rPr>
          <w:color w:val="auto"/>
        </w:rPr>
        <w:t xml:space="preserve">Section mapping: </w:t>
      </w:r>
      <w:r>
        <w:rPr>
          <w:rStyle w:val="35"/>
          <w:color w:val="auto"/>
        </w:rPr>
        <w:t>1.7 Missing Value Visualisation</w:t>
      </w:r>
    </w:p>
    <w:p w14:paraId="10CEE165">
      <w:pPr>
        <w:pStyle w:val="24"/>
        <w:numPr>
          <w:ilvl w:val="0"/>
          <w:numId w:val="7"/>
        </w:numPr>
        <w:rPr>
          <w:color w:val="auto"/>
        </w:rPr>
      </w:pPr>
      <w:r>
        <w:rPr>
          <w:color w:val="auto"/>
        </w:rPr>
        <w:t>Basic description: Plot generated during DQR exploratory checks to support data quality interpretation.</w:t>
      </w:r>
    </w:p>
    <w:p w14:paraId="25EE5441">
      <w:pPr>
        <w:pStyle w:val="34"/>
        <w:rPr>
          <w:color w:val="auto"/>
        </w:rPr>
      </w:pPr>
      <w:r>
        <w:rPr>
          <w:color w:val="auto"/>
        </w:rPr>
        <w:drawing>
          <wp:inline distT="0" distB="0" distL="114300" distR="114300">
            <wp:extent cx="4697095" cy="2654935"/>
            <wp:effectExtent l="0" t="0" r="1905" b="12065"/>
            <wp:docPr id="1" name="Picture" descr="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pic:cNvPicPr>
                      <a:picLocks noChangeAspect="1" noChangeArrowheads="1"/>
                    </pic:cNvPicPr>
                  </pic:nvPicPr>
                  <pic:blipFill>
                    <a:blip r:embed="rId5"/>
                    <a:stretch>
                      <a:fillRect/>
                    </a:stretch>
                  </pic:blipFill>
                  <pic:spPr>
                    <a:xfrm>
                      <a:off x="0" y="0"/>
                      <a:ext cx="4697095" cy="2654935"/>
                    </a:xfrm>
                    <a:prstGeom prst="rect">
                      <a:avLst/>
                    </a:prstGeom>
                    <a:noFill/>
                    <a:ln w="9525">
                      <a:noFill/>
                    </a:ln>
                  </pic:spPr>
                </pic:pic>
              </a:graphicData>
            </a:graphic>
          </wp:inline>
        </w:drawing>
      </w:r>
    </w:p>
    <w:bookmarkEnd w:id="30"/>
    <w:p w14:paraId="51745412">
      <w:pPr>
        <w:pStyle w:val="6"/>
        <w:rPr>
          <w:color w:val="auto"/>
        </w:rPr>
      </w:pPr>
      <w:bookmarkStart w:id="31" w:name="X8f8097fa24765543fae1d74a136e9d49d3947d9"/>
      <w:r>
        <w:rPr>
          <w:color w:val="auto"/>
        </w:rPr>
        <w:t>Figure A2: Output from cell 31 (1.8 Categorical Feature Distributions)</w:t>
      </w:r>
    </w:p>
    <w:p w14:paraId="0873C916">
      <w:pPr>
        <w:pStyle w:val="24"/>
        <w:numPr>
          <w:ilvl w:val="0"/>
          <w:numId w:val="7"/>
        </w:numPr>
        <w:rPr>
          <w:color w:val="auto"/>
        </w:rPr>
      </w:pPr>
      <w:r>
        <w:rPr>
          <w:color w:val="auto"/>
        </w:rPr>
        <w:t xml:space="preserve">Section mapping: </w:t>
      </w:r>
      <w:r>
        <w:rPr>
          <w:rStyle w:val="35"/>
          <w:color w:val="auto"/>
        </w:rPr>
        <w:t>1.8 Categorical Feature Distributions</w:t>
      </w:r>
    </w:p>
    <w:p w14:paraId="232926CA">
      <w:pPr>
        <w:pStyle w:val="24"/>
        <w:numPr>
          <w:ilvl w:val="0"/>
          <w:numId w:val="7"/>
        </w:numPr>
        <w:rPr>
          <w:color w:val="auto"/>
        </w:rPr>
      </w:pPr>
      <w:r>
        <w:rPr>
          <w:color w:val="auto"/>
        </w:rPr>
        <w:t>Basic description: Plot generated during DQR exploratory checks to support data quality interpretation.</w:t>
      </w:r>
    </w:p>
    <w:p w14:paraId="467869B4">
      <w:pPr>
        <w:pStyle w:val="34"/>
        <w:rPr>
          <w:color w:val="auto"/>
        </w:rPr>
      </w:pPr>
      <w:r>
        <w:rPr>
          <w:color w:val="auto"/>
        </w:rPr>
        <w:drawing>
          <wp:inline distT="0" distB="0" distL="114300" distR="114300">
            <wp:extent cx="4973955" cy="7210425"/>
            <wp:effectExtent l="0" t="0" r="4445" b="3175"/>
            <wp:docPr id="5" name="Picture" descr="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Figure A2"/>
                    <pic:cNvPicPr>
                      <a:picLocks noChangeAspect="1" noChangeArrowheads="1"/>
                    </pic:cNvPicPr>
                  </pic:nvPicPr>
                  <pic:blipFill>
                    <a:blip r:embed="rId6"/>
                    <a:srcRect r="278" b="39062"/>
                    <a:stretch>
                      <a:fillRect/>
                    </a:stretch>
                  </pic:blipFill>
                  <pic:spPr>
                    <a:xfrm>
                      <a:off x="0" y="0"/>
                      <a:ext cx="4973955" cy="7210425"/>
                    </a:xfrm>
                    <a:prstGeom prst="rect">
                      <a:avLst/>
                    </a:prstGeom>
                    <a:noFill/>
                    <a:ln w="9525">
                      <a:noFill/>
                    </a:ln>
                  </pic:spPr>
                </pic:pic>
              </a:graphicData>
            </a:graphic>
          </wp:inline>
        </w:drawing>
      </w:r>
      <w:r>
        <w:rPr>
          <w:color w:val="auto"/>
        </w:rPr>
        <w:drawing>
          <wp:inline distT="0" distB="0" distL="114300" distR="114300">
            <wp:extent cx="5201285" cy="4700905"/>
            <wp:effectExtent l="0" t="0" r="5715" b="23495"/>
            <wp:docPr id="2" name="Picture" descr="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Figure A2"/>
                    <pic:cNvPicPr>
                      <a:picLocks noChangeAspect="1" noChangeArrowheads="1"/>
                    </pic:cNvPicPr>
                  </pic:nvPicPr>
                  <pic:blipFill>
                    <a:blip r:embed="rId6"/>
                    <a:srcRect l="-139" t="61851"/>
                    <a:stretch>
                      <a:fillRect/>
                    </a:stretch>
                  </pic:blipFill>
                  <pic:spPr>
                    <a:xfrm>
                      <a:off x="0" y="0"/>
                      <a:ext cx="5201285" cy="4700905"/>
                    </a:xfrm>
                    <a:prstGeom prst="rect">
                      <a:avLst/>
                    </a:prstGeom>
                    <a:noFill/>
                    <a:ln w="9525">
                      <a:noFill/>
                    </a:ln>
                  </pic:spPr>
                </pic:pic>
              </a:graphicData>
            </a:graphic>
          </wp:inline>
        </w:drawing>
      </w:r>
    </w:p>
    <w:bookmarkEnd w:id="31"/>
    <w:p w14:paraId="4BA29142">
      <w:pPr>
        <w:pStyle w:val="6"/>
        <w:rPr>
          <w:color w:val="auto"/>
        </w:rPr>
      </w:pPr>
      <w:bookmarkStart w:id="32" w:name="X4b581b9cadf0d46a703617ca40d618684bdb17c"/>
      <w:r>
        <w:rPr>
          <w:color w:val="auto"/>
        </w:rPr>
        <w:t>Figure A3: Output from cell 35 (1.9 Price Distribution Analysis)</w:t>
      </w:r>
    </w:p>
    <w:p w14:paraId="2485C19B">
      <w:pPr>
        <w:pStyle w:val="24"/>
        <w:numPr>
          <w:ilvl w:val="0"/>
          <w:numId w:val="7"/>
        </w:numPr>
        <w:rPr>
          <w:color w:val="auto"/>
        </w:rPr>
      </w:pPr>
      <w:r>
        <w:rPr>
          <w:color w:val="auto"/>
        </w:rPr>
        <w:t xml:space="preserve">Section mapping: </w:t>
      </w:r>
      <w:r>
        <w:rPr>
          <w:rStyle w:val="35"/>
          <w:color w:val="auto"/>
        </w:rPr>
        <w:t>1.9 Price Distribution Analysis</w:t>
      </w:r>
    </w:p>
    <w:p w14:paraId="51364A63">
      <w:pPr>
        <w:pStyle w:val="24"/>
        <w:numPr>
          <w:ilvl w:val="0"/>
          <w:numId w:val="7"/>
        </w:numPr>
        <w:rPr>
          <w:color w:val="auto"/>
        </w:rPr>
      </w:pPr>
      <w:r>
        <w:rPr>
          <w:color w:val="auto"/>
        </w:rPr>
        <w:t>Basic description: Plot generated during DQR exploratory checks to support data quality interpretation.</w:t>
      </w:r>
    </w:p>
    <w:p w14:paraId="2961CD42">
      <w:pPr>
        <w:pStyle w:val="34"/>
        <w:rPr>
          <w:color w:val="auto"/>
        </w:rPr>
      </w:pPr>
      <w:r>
        <w:rPr>
          <w:color w:val="auto"/>
        </w:rPr>
        <w:drawing>
          <wp:inline distT="0" distB="0" distL="114300" distR="114300">
            <wp:extent cx="5185410" cy="1477010"/>
            <wp:effectExtent l="0" t="0" r="21590" b="21590"/>
            <wp:docPr id="3" name="Picture" descr="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Figure A3"/>
                    <pic:cNvPicPr>
                      <a:picLocks noChangeAspect="1" noChangeArrowheads="1"/>
                    </pic:cNvPicPr>
                  </pic:nvPicPr>
                  <pic:blipFill>
                    <a:blip r:embed="rId7"/>
                    <a:stretch>
                      <a:fillRect/>
                    </a:stretch>
                  </pic:blipFill>
                  <pic:spPr>
                    <a:xfrm>
                      <a:off x="0" y="0"/>
                      <a:ext cx="5185410" cy="1477010"/>
                    </a:xfrm>
                    <a:prstGeom prst="rect">
                      <a:avLst/>
                    </a:prstGeom>
                    <a:noFill/>
                    <a:ln w="9525">
                      <a:noFill/>
                    </a:ln>
                  </pic:spPr>
                </pic:pic>
              </a:graphicData>
            </a:graphic>
          </wp:inline>
        </w:drawing>
      </w:r>
    </w:p>
    <w:bookmarkEnd w:id="32"/>
    <w:p w14:paraId="1C1EFB01">
      <w:pPr>
        <w:pStyle w:val="6"/>
        <w:rPr>
          <w:color w:val="auto"/>
        </w:rPr>
      </w:pPr>
      <w:bookmarkStart w:id="33" w:name="Xc8b1a63eb37aef9f7754d95e18d7fd2dd56fc79"/>
      <w:r>
        <w:rPr>
          <w:color w:val="auto"/>
        </w:rPr>
        <w:t>Figure A4: Output from cell 35 (1.9 Price Distribution Analysis)</w:t>
      </w:r>
    </w:p>
    <w:p w14:paraId="534F34B9">
      <w:pPr>
        <w:pStyle w:val="24"/>
        <w:numPr>
          <w:ilvl w:val="0"/>
          <w:numId w:val="7"/>
        </w:numPr>
        <w:rPr>
          <w:color w:val="auto"/>
        </w:rPr>
      </w:pPr>
      <w:r>
        <w:rPr>
          <w:color w:val="auto"/>
        </w:rPr>
        <w:t xml:space="preserve">Section mapping: </w:t>
      </w:r>
      <w:r>
        <w:rPr>
          <w:rStyle w:val="35"/>
          <w:color w:val="auto"/>
        </w:rPr>
        <w:t>1.9 Price Distribution Analysis</w:t>
      </w:r>
    </w:p>
    <w:p w14:paraId="32B934B9">
      <w:pPr>
        <w:pStyle w:val="24"/>
        <w:numPr>
          <w:ilvl w:val="0"/>
          <w:numId w:val="7"/>
        </w:numPr>
        <w:rPr>
          <w:color w:val="auto"/>
        </w:rPr>
      </w:pPr>
      <w:r>
        <w:rPr>
          <w:color w:val="auto"/>
        </w:rPr>
        <w:t>Basic description: Plot generated during DQR exploratory checks to support data quality interpretation.</w:t>
      </w:r>
    </w:p>
    <w:p w14:paraId="3FA7BB7D">
      <w:pPr>
        <w:pStyle w:val="34"/>
        <w:rPr>
          <w:color w:val="auto"/>
        </w:rPr>
      </w:pPr>
      <w:r>
        <w:rPr>
          <w:color w:val="auto"/>
        </w:rPr>
        <w:drawing>
          <wp:inline distT="0" distB="0" distL="114300" distR="114300">
            <wp:extent cx="5334000" cy="1294130"/>
            <wp:effectExtent l="0" t="0" r="0" b="0"/>
            <wp:docPr id="4" name="Picture" descr="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Figure A4"/>
                    <pic:cNvPicPr>
                      <a:picLocks noChangeAspect="1" noChangeArrowheads="1"/>
                    </pic:cNvPicPr>
                  </pic:nvPicPr>
                  <pic:blipFill>
                    <a:blip r:embed="rId8"/>
                    <a:stretch>
                      <a:fillRect/>
                    </a:stretch>
                  </pic:blipFill>
                  <pic:spPr>
                    <a:xfrm>
                      <a:off x="0" y="0"/>
                      <a:ext cx="5334000" cy="1294398"/>
                    </a:xfrm>
                    <a:prstGeom prst="rect">
                      <a:avLst/>
                    </a:prstGeom>
                    <a:noFill/>
                    <a:ln w="9525">
                      <a:noFill/>
                    </a:ln>
                  </pic:spPr>
                </pic:pic>
              </a:graphicData>
            </a:graphic>
          </wp:inline>
        </w:drawing>
      </w:r>
    </w:p>
    <w:bookmarkEnd w:id="28"/>
    <w:bookmarkEnd w:id="29"/>
    <w:bookmarkEnd w:id="33"/>
    <w:p w14:paraId="59ED91F8">
      <w:pPr>
        <w:pStyle w:val="5"/>
        <w:rPr>
          <w:color w:val="auto"/>
        </w:rPr>
      </w:pPr>
      <w:bookmarkStart w:id="34" w:name="a.2-tables-analysis-outputs-only"/>
      <w:r>
        <w:rPr>
          <w:color w:val="auto"/>
        </w:rPr>
        <w:t>A.2 Tables (Analysis Outputs Only)</w:t>
      </w:r>
    </w:p>
    <w:p w14:paraId="6304AD75">
      <w:pPr>
        <w:pStyle w:val="6"/>
        <w:rPr>
          <w:color w:val="auto"/>
        </w:rPr>
      </w:pPr>
      <w:bookmarkStart w:id="35" w:name="X331ce61b61d21177e0e9efc1d0230c6cf3cf74d"/>
      <w:r>
        <w:rPr>
          <w:color w:val="auto"/>
        </w:rPr>
        <w:t>Table A1: Initial Data Structure Check (cell 6)</w:t>
      </w:r>
    </w:p>
    <w:p w14:paraId="4642116C">
      <w:pPr>
        <w:pStyle w:val="24"/>
        <w:numPr>
          <w:ilvl w:val="0"/>
          <w:numId w:val="7"/>
        </w:numPr>
        <w:rPr>
          <w:color w:val="auto"/>
        </w:rPr>
      </w:pPr>
      <w:r>
        <w:rPr>
          <w:color w:val="auto"/>
        </w:rPr>
        <w:t xml:space="preserve">Section mapping: </w:t>
      </w:r>
      <w:r>
        <w:rPr>
          <w:rStyle w:val="35"/>
          <w:color w:val="auto"/>
        </w:rPr>
        <w:t>1.2 Initial Data Structure Check</w:t>
      </w:r>
    </w:p>
    <w:p w14:paraId="4671492C">
      <w:pPr>
        <w:pStyle w:val="24"/>
        <w:numPr>
          <w:ilvl w:val="0"/>
          <w:numId w:val="7"/>
        </w:numPr>
        <w:rPr>
          <w:color w:val="auto"/>
        </w:rPr>
      </w:pPr>
      <w:r>
        <w:rPr>
          <w:color w:val="auto"/>
        </w:rPr>
        <w:t xml:space="preserve">Basic description: Missingness and structure diagnostics (e.g., </w:t>
      </w:r>
      <w:r>
        <w:rPr>
          <w:rStyle w:val="35"/>
          <w:color w:val="auto"/>
        </w:rPr>
        <w:t>display(missing_df)</w:t>
      </w:r>
      <w:r>
        <w:rPr>
          <w:color w:val="auto"/>
        </w:rPr>
        <w:t>).</w:t>
      </w:r>
    </w:p>
    <w:bookmarkEnd w:id="35"/>
    <w:p w14:paraId="77A5357E">
      <w:pPr>
        <w:pStyle w:val="6"/>
        <w:rPr>
          <w:color w:val="auto"/>
        </w:rPr>
      </w:pPr>
      <w:bookmarkStart w:id="36" w:name="Xb98e6b65ff9178dd821c4353f135b9865dfe47b"/>
      <w:r>
        <w:rPr>
          <w:color w:val="auto"/>
        </w:rPr>
        <w:t>Table A2: Initial Data Structure Check (cell 6)</w:t>
      </w:r>
    </w:p>
    <w:p w14:paraId="77BDF6F7">
      <w:pPr>
        <w:pStyle w:val="24"/>
        <w:numPr>
          <w:ilvl w:val="0"/>
          <w:numId w:val="7"/>
        </w:numPr>
        <w:rPr>
          <w:color w:val="auto"/>
        </w:rPr>
      </w:pPr>
      <w:r>
        <w:rPr>
          <w:color w:val="auto"/>
        </w:rPr>
        <w:t xml:space="preserve">Section mapping: </w:t>
      </w:r>
      <w:r>
        <w:rPr>
          <w:rStyle w:val="35"/>
          <w:color w:val="auto"/>
        </w:rPr>
        <w:t>1.2 Initial Data Structure Check</w:t>
      </w:r>
    </w:p>
    <w:p w14:paraId="27F7909A">
      <w:pPr>
        <w:pStyle w:val="24"/>
        <w:numPr>
          <w:ilvl w:val="0"/>
          <w:numId w:val="7"/>
        </w:numPr>
        <w:rPr>
          <w:color w:val="auto"/>
        </w:rPr>
      </w:pPr>
      <w:r>
        <w:rPr>
          <w:color w:val="auto"/>
        </w:rPr>
        <w:t>Basic description: Complementary structure summary table from the same step.</w:t>
      </w:r>
    </w:p>
    <w:bookmarkEnd w:id="36"/>
    <w:p w14:paraId="0B4A23E1">
      <w:pPr>
        <w:pStyle w:val="6"/>
        <w:rPr>
          <w:color w:val="auto"/>
        </w:rPr>
      </w:pPr>
      <w:bookmarkStart w:id="37" w:name="Xa40201109bb2a730dd46469472165bdd9c4401e"/>
      <w:r>
        <w:rPr>
          <w:color w:val="auto"/>
        </w:rPr>
        <w:t>Table A3: Data Type Conversion Summary (cell 9)</w:t>
      </w:r>
    </w:p>
    <w:p w14:paraId="3225701C">
      <w:pPr>
        <w:pStyle w:val="24"/>
        <w:numPr>
          <w:ilvl w:val="0"/>
          <w:numId w:val="7"/>
        </w:numPr>
        <w:rPr>
          <w:color w:val="auto"/>
        </w:rPr>
      </w:pPr>
      <w:r>
        <w:rPr>
          <w:color w:val="auto"/>
        </w:rPr>
        <w:t xml:space="preserve">Section mapping: </w:t>
      </w:r>
      <w:r>
        <w:rPr>
          <w:rStyle w:val="35"/>
          <w:color w:val="auto"/>
        </w:rPr>
        <w:t>1.3 Data Type Conversion</w:t>
      </w:r>
    </w:p>
    <w:p w14:paraId="29F13693">
      <w:pPr>
        <w:pStyle w:val="24"/>
        <w:numPr>
          <w:ilvl w:val="0"/>
          <w:numId w:val="7"/>
        </w:numPr>
        <w:rPr>
          <w:color w:val="auto"/>
        </w:rPr>
      </w:pPr>
      <w:r>
        <w:rPr>
          <w:color w:val="auto"/>
        </w:rPr>
        <w:t>Basic description: Field-level raw-to-converted dtype summary.</w:t>
      </w:r>
    </w:p>
    <w:bookmarkEnd w:id="37"/>
    <w:p w14:paraId="5857FAE6">
      <w:pPr>
        <w:pStyle w:val="6"/>
        <w:rPr>
          <w:color w:val="auto"/>
        </w:rPr>
      </w:pPr>
      <w:bookmarkStart w:id="38" w:name="X1a4a2881417b8faf87ef8b5c2e3f4d1cd586061"/>
      <w:r>
        <w:rPr>
          <w:color w:val="auto"/>
        </w:rPr>
        <w:t>Table A4: Numeric Features Summary (cell 19)</w:t>
      </w:r>
    </w:p>
    <w:p w14:paraId="723C0ABE">
      <w:pPr>
        <w:pStyle w:val="24"/>
        <w:numPr>
          <w:ilvl w:val="0"/>
          <w:numId w:val="7"/>
        </w:numPr>
        <w:rPr>
          <w:color w:val="auto"/>
        </w:rPr>
      </w:pPr>
      <w:r>
        <w:rPr>
          <w:color w:val="auto"/>
        </w:rPr>
        <w:t xml:space="preserve">Section mapping: </w:t>
      </w:r>
      <w:r>
        <w:rPr>
          <w:rStyle w:val="35"/>
          <w:color w:val="auto"/>
        </w:rPr>
        <w:t>1.6.1 Numeric Features Summary Table</w:t>
      </w:r>
    </w:p>
    <w:p w14:paraId="7277CB5C">
      <w:pPr>
        <w:pStyle w:val="24"/>
        <w:numPr>
          <w:ilvl w:val="0"/>
          <w:numId w:val="7"/>
        </w:numPr>
        <w:rPr>
          <w:color w:val="auto"/>
        </w:rPr>
      </w:pPr>
      <w:r>
        <w:rPr>
          <w:color w:val="auto"/>
        </w:rPr>
        <w:t>Basic description: Descriptive statistics for numeric features.</w:t>
      </w:r>
    </w:p>
    <w:bookmarkEnd w:id="38"/>
    <w:p w14:paraId="13FCA09C">
      <w:pPr>
        <w:pStyle w:val="6"/>
        <w:rPr>
          <w:color w:val="auto"/>
        </w:rPr>
      </w:pPr>
      <w:bookmarkStart w:id="39" w:name="X19aa66ddd0df080736ab2307bbb85fa12964eb5"/>
      <w:r>
        <w:rPr>
          <w:color w:val="auto"/>
        </w:rPr>
        <w:t>Table A5: Categorical Features Summary (cell 22)</w:t>
      </w:r>
    </w:p>
    <w:p w14:paraId="62C08247">
      <w:pPr>
        <w:pStyle w:val="24"/>
        <w:numPr>
          <w:ilvl w:val="0"/>
          <w:numId w:val="7"/>
        </w:numPr>
        <w:rPr>
          <w:color w:val="auto"/>
        </w:rPr>
      </w:pPr>
      <w:r>
        <w:rPr>
          <w:color w:val="auto"/>
        </w:rPr>
        <w:t xml:space="preserve">Section mapping: </w:t>
      </w:r>
      <w:r>
        <w:rPr>
          <w:rStyle w:val="35"/>
          <w:color w:val="auto"/>
        </w:rPr>
        <w:t>1.6.2 Categorical Features Summary Table</w:t>
      </w:r>
    </w:p>
    <w:p w14:paraId="6EA8FE41">
      <w:pPr>
        <w:pStyle w:val="24"/>
        <w:numPr>
          <w:ilvl w:val="0"/>
          <w:numId w:val="7"/>
        </w:numPr>
        <w:rPr>
          <w:color w:val="auto"/>
        </w:rPr>
      </w:pPr>
      <w:r>
        <w:rPr>
          <w:color w:val="auto"/>
        </w:rPr>
        <w:t>Basic description: Cardinality/top-frequency summary for categorical features.</w:t>
      </w:r>
    </w:p>
    <w:bookmarkEnd w:id="39"/>
    <w:p w14:paraId="2B65E973">
      <w:pPr>
        <w:pStyle w:val="6"/>
        <w:rPr>
          <w:color w:val="auto"/>
        </w:rPr>
      </w:pPr>
      <w:bookmarkStart w:id="40" w:name="Xae832ce3c80286fff323367bd2097cf914b2e60"/>
      <w:r>
        <w:rPr>
          <w:color w:val="auto"/>
        </w:rPr>
        <w:t>Table A6: High-Cardinality Feature Summary (cell 25)</w:t>
      </w:r>
    </w:p>
    <w:p w14:paraId="340718C3">
      <w:pPr>
        <w:pStyle w:val="24"/>
        <w:numPr>
          <w:ilvl w:val="0"/>
          <w:numId w:val="7"/>
        </w:numPr>
        <w:rPr>
          <w:color w:val="auto"/>
        </w:rPr>
      </w:pPr>
      <w:r>
        <w:rPr>
          <w:color w:val="auto"/>
        </w:rPr>
        <w:t xml:space="preserve">Section mapping: </w:t>
      </w:r>
      <w:r>
        <w:rPr>
          <w:rStyle w:val="35"/>
          <w:color w:val="auto"/>
        </w:rPr>
        <w:t>1.6.3 High-Cardinality String Features</w:t>
      </w:r>
    </w:p>
    <w:p w14:paraId="20A7BEE7">
      <w:pPr>
        <w:pStyle w:val="24"/>
        <w:numPr>
          <w:ilvl w:val="0"/>
          <w:numId w:val="7"/>
        </w:numPr>
        <w:rPr>
          <w:color w:val="auto"/>
        </w:rPr>
      </w:pPr>
      <w:r>
        <w:rPr>
          <w:color w:val="auto"/>
        </w:rPr>
        <w:t>Basic description: High-cardinality diagnostics for string features.</w:t>
      </w:r>
    </w:p>
    <w:bookmarkEnd w:id="40"/>
    <w:p w14:paraId="05AE8593">
      <w:pPr>
        <w:pStyle w:val="6"/>
        <w:rPr>
          <w:color w:val="auto"/>
        </w:rPr>
      </w:pPr>
      <w:bookmarkStart w:id="41" w:name="Xf7b532a0fbe1d170b66f93f26402599b8ebe78f"/>
      <w:r>
        <w:rPr>
          <w:color w:val="auto"/>
        </w:rPr>
        <w:t>Table A7: Price Outlier Investigation Table (cell 38)</w:t>
      </w:r>
    </w:p>
    <w:p w14:paraId="764B8DE8">
      <w:pPr>
        <w:pStyle w:val="24"/>
        <w:numPr>
          <w:ilvl w:val="0"/>
          <w:numId w:val="7"/>
        </w:numPr>
        <w:rPr>
          <w:color w:val="auto"/>
        </w:rPr>
      </w:pPr>
      <w:r>
        <w:rPr>
          <w:color w:val="auto"/>
        </w:rPr>
        <w:t xml:space="preserve">Section mapping: </w:t>
      </w:r>
      <w:r>
        <w:rPr>
          <w:rStyle w:val="35"/>
          <w:color w:val="auto"/>
        </w:rPr>
        <w:t>1.10 Price Outlier Investigation</w:t>
      </w:r>
    </w:p>
    <w:p w14:paraId="63D0CC16">
      <w:pPr>
        <w:pStyle w:val="24"/>
        <w:numPr>
          <w:ilvl w:val="0"/>
          <w:numId w:val="7"/>
        </w:numPr>
        <w:rPr>
          <w:color w:val="auto"/>
        </w:rPr>
      </w:pPr>
      <w:r>
        <w:rPr>
          <w:color w:val="auto"/>
        </w:rPr>
        <w:t>Basic description: Percentile/boundary-based outlier summary.</w:t>
      </w:r>
    </w:p>
    <w:bookmarkEnd w:id="41"/>
    <w:p w14:paraId="1C8F2A8B">
      <w:pPr>
        <w:pStyle w:val="6"/>
        <w:rPr>
          <w:color w:val="auto"/>
        </w:rPr>
      </w:pPr>
      <w:bookmarkStart w:id="42" w:name="Xfd0744670a6017dfbe69bb0fbb13924f820b652"/>
      <w:r>
        <w:rPr>
          <w:color w:val="auto"/>
        </w:rPr>
        <w:t>Table A8: VAT Consistency Check Table (cell 42)</w:t>
      </w:r>
    </w:p>
    <w:p w14:paraId="6E11C9A6">
      <w:pPr>
        <w:pStyle w:val="24"/>
        <w:numPr>
          <w:ilvl w:val="0"/>
          <w:numId w:val="7"/>
        </w:numPr>
        <w:rPr>
          <w:color w:val="auto"/>
        </w:rPr>
      </w:pPr>
      <w:r>
        <w:rPr>
          <w:color w:val="auto"/>
        </w:rPr>
        <w:t xml:space="preserve">Section mapping: </w:t>
      </w:r>
      <w:r>
        <w:rPr>
          <w:rStyle w:val="35"/>
          <w:color w:val="auto"/>
        </w:rPr>
        <w:t>1.13 VAT Consistency Check</w:t>
      </w:r>
    </w:p>
    <w:p w14:paraId="18B36F5A">
      <w:pPr>
        <w:pStyle w:val="24"/>
        <w:numPr>
          <w:ilvl w:val="0"/>
          <w:numId w:val="7"/>
        </w:numPr>
        <w:rPr>
          <w:color w:val="auto"/>
        </w:rPr>
      </w:pPr>
      <w:r>
        <w:rPr>
          <w:color w:val="auto"/>
        </w:rPr>
        <w:t>Basic description: VAT vs property-type consistency cross-check.</w:t>
      </w:r>
    </w:p>
    <w:bookmarkEnd w:id="42"/>
    <w:p w14:paraId="23476885">
      <w:pPr>
        <w:pStyle w:val="6"/>
        <w:rPr>
          <w:color w:val="auto"/>
        </w:rPr>
      </w:pPr>
      <w:bookmarkStart w:id="43" w:name="X0dc637a93d9099e6baae61ec07cc303eee82451"/>
      <w:r>
        <w:rPr>
          <w:color w:val="auto"/>
        </w:rPr>
        <w:t>Table A9: VAT Consistency Check Supplement (cell 42)</w:t>
      </w:r>
    </w:p>
    <w:p w14:paraId="0ABC3546">
      <w:pPr>
        <w:pStyle w:val="24"/>
        <w:numPr>
          <w:ilvl w:val="0"/>
          <w:numId w:val="7"/>
        </w:numPr>
        <w:rPr>
          <w:color w:val="auto"/>
        </w:rPr>
      </w:pPr>
      <w:r>
        <w:rPr>
          <w:color w:val="auto"/>
        </w:rPr>
        <w:t xml:space="preserve">Section mapping: </w:t>
      </w:r>
      <w:r>
        <w:rPr>
          <w:rStyle w:val="35"/>
          <w:color w:val="auto"/>
        </w:rPr>
        <w:t>1.13 VAT Consistency Check</w:t>
      </w:r>
    </w:p>
    <w:p w14:paraId="16C99F29">
      <w:pPr>
        <w:pStyle w:val="24"/>
        <w:numPr>
          <w:ilvl w:val="0"/>
          <w:numId w:val="7"/>
        </w:numPr>
        <w:rPr>
          <w:color w:val="auto"/>
        </w:rPr>
      </w:pPr>
      <w:r>
        <w:rPr>
          <w:color w:val="auto"/>
        </w:rPr>
        <w:t>Basic description: Additional table output from VAT rule diagnostics.</w:t>
      </w:r>
    </w:p>
    <w:bookmarkEnd w:id="34"/>
    <w:bookmarkEnd w:id="43"/>
    <w:p w14:paraId="7418CB91">
      <w:pPr>
        <w:pStyle w:val="5"/>
        <w:rPr>
          <w:color w:val="auto"/>
        </w:rPr>
      </w:pPr>
      <w:bookmarkStart w:id="44" w:name="Xb7587da4b8a8f7002edbb124c56575b99556c0e"/>
      <w:r>
        <w:rPr>
          <w:color w:val="auto"/>
        </w:rPr>
        <w:t>A.3 DQR CSV Exports from project DQR section</w:t>
      </w:r>
    </w:p>
    <w:p w14:paraId="2A6DACAC">
      <w:pPr>
        <w:pStyle w:val="24"/>
        <w:numPr>
          <w:ilvl w:val="0"/>
          <w:numId w:val="7"/>
        </w:numPr>
        <w:rPr>
          <w:color w:val="auto"/>
        </w:rPr>
      </w:pPr>
      <w:r>
        <w:rPr>
          <w:rStyle w:val="35"/>
          <w:color w:val="auto"/>
        </w:rPr>
        <w:t>organize/train-cleaned.csv</w:t>
      </w:r>
    </w:p>
    <w:p w14:paraId="6790870C">
      <w:pPr>
        <w:pStyle w:val="24"/>
        <w:numPr>
          <w:ilvl w:val="0"/>
          <w:numId w:val="7"/>
        </w:numPr>
        <w:rPr>
          <w:color w:val="auto"/>
        </w:rPr>
      </w:pPr>
      <w:r>
        <w:rPr>
          <w:rStyle w:val="35"/>
          <w:color w:val="auto"/>
        </w:rPr>
        <w:t>organize/DQR-NumericFeatures.csv</w:t>
      </w:r>
    </w:p>
    <w:p w14:paraId="6756367A">
      <w:pPr>
        <w:pStyle w:val="24"/>
        <w:numPr>
          <w:ilvl w:val="0"/>
          <w:numId w:val="7"/>
        </w:numPr>
        <w:rPr>
          <w:color w:val="auto"/>
        </w:rPr>
      </w:pPr>
      <w:r>
        <w:rPr>
          <w:rStyle w:val="35"/>
          <w:color w:val="auto"/>
        </w:rPr>
        <w:t>organize/DQR-CategoricalFeatures.csv</w:t>
      </w:r>
    </w:p>
    <w:bookmarkEnd w:id="44"/>
    <w:p w14:paraId="420FE58E">
      <w:pPr>
        <w:pStyle w:val="3"/>
        <w:rPr>
          <w:rFonts w:hint="default"/>
          <w:color w:val="auto"/>
        </w:rPr>
      </w:pPr>
    </w:p>
    <w:bookmarkEnd w:id="27"/>
    <w:p w14:paraId="175475EA">
      <w:pPr>
        <w:pStyle w:val="4"/>
        <w:rPr>
          <w:rFonts w:hint="default" w:ascii="Times New Roman Regular" w:hAnsi="Times New Roman Regular" w:cs="Times New Roman Regular"/>
          <w:color w:val="auto"/>
          <w:sz w:val="22"/>
          <w:szCs w:val="22"/>
        </w:rPr>
      </w:pPr>
      <w:bookmarkStart w:id="45" w:name="click-link-to-see-attached-file"/>
    </w:p>
    <w:bookmarkEnd w:id="0"/>
    <w:bookmarkEnd w:id="45"/>
    <w:sectPr>
      <w:type w:val="continuou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Wingdings">
    <w:panose1 w:val="05000000000000000000"/>
    <w:charset w:val="00"/>
    <w:family w:val="auto"/>
    <w:pitch w:val="default"/>
    <w:sig w:usb0="00000000" w:usb1="00000000" w:usb2="00000000" w:usb3="00000000" w:csb0="8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EA0E1"/>
    <w:multiLevelType w:val="singleLevel"/>
    <w:tmpl w:val="9BFEA0E1"/>
    <w:lvl w:ilvl="0" w:tentative="0">
      <w:start w:val="1"/>
      <w:numFmt w:val="bullet"/>
      <w:lvlText w:val=""/>
      <w:lvlJc w:val="left"/>
      <w:pPr>
        <w:ind w:left="420" w:hanging="420"/>
      </w:pPr>
      <w:rPr>
        <w:rFonts w:hint="default" w:ascii="Wingdings" w:hAnsi="Wingdings"/>
      </w:rPr>
    </w:lvl>
  </w:abstractNum>
  <w:abstractNum w:abstractNumId="1">
    <w:nsid w:val="CFEE9A29"/>
    <w:multiLevelType w:val="singleLevel"/>
    <w:tmpl w:val="CFEE9A29"/>
    <w:lvl w:ilvl="0" w:tentative="0">
      <w:start w:val="1"/>
      <w:numFmt w:val="bullet"/>
      <w:lvlText w:val=""/>
      <w:lvlJc w:val="left"/>
      <w:pPr>
        <w:ind w:left="420" w:hanging="420"/>
      </w:pPr>
      <w:rPr>
        <w:rFonts w:hint="default" w:ascii="Wingdings" w:hAnsi="Wingdings"/>
      </w:rPr>
    </w:lvl>
  </w:abstractNum>
  <w:abstractNum w:abstractNumId="2">
    <w:nsid w:val="EA454B4C"/>
    <w:multiLevelType w:val="multilevel"/>
    <w:tmpl w:val="EA454B4C"/>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FA7F0BA7"/>
    <w:multiLevelType w:val="singleLevel"/>
    <w:tmpl w:val="FA7F0BA7"/>
    <w:lvl w:ilvl="0" w:tentative="0">
      <w:start w:val="1"/>
      <w:numFmt w:val="bullet"/>
      <w:lvlText w:val=""/>
      <w:lvlJc w:val="left"/>
      <w:pPr>
        <w:ind w:left="420" w:hanging="420"/>
      </w:pPr>
      <w:rPr>
        <w:rFonts w:hint="default" w:ascii="Wingdings" w:hAnsi="Wingdings"/>
      </w:rPr>
    </w:lvl>
  </w:abstractNum>
  <w:abstractNum w:abstractNumId="4">
    <w:nsid w:val="FFD741FD"/>
    <w:multiLevelType w:val="singleLevel"/>
    <w:tmpl w:val="FFD741FD"/>
    <w:lvl w:ilvl="0" w:tentative="0">
      <w:start w:val="1"/>
      <w:numFmt w:val="bullet"/>
      <w:lvlText w:val=""/>
      <w:lvlJc w:val="left"/>
      <w:pPr>
        <w:ind w:left="420" w:hanging="420"/>
      </w:pPr>
      <w:rPr>
        <w:rFonts w:hint="default" w:ascii="Wingdings" w:hAnsi="Wingdings"/>
      </w:rPr>
    </w:lvl>
  </w:abstractNum>
  <w:abstractNum w:abstractNumId="5">
    <w:nsid w:val="6ABF15B5"/>
    <w:multiLevelType w:val="singleLevel"/>
    <w:tmpl w:val="6ABF15B5"/>
    <w:lvl w:ilvl="0" w:tentative="0">
      <w:start w:val="1"/>
      <w:numFmt w:val="bullet"/>
      <w:lvlText w:val=""/>
      <w:lvlJc w:val="left"/>
      <w:pPr>
        <w:ind w:left="420" w:hanging="420"/>
      </w:pPr>
      <w:rPr>
        <w:rFonts w:hint="default" w:ascii="Wingdings" w:hAnsi="Wingdings"/>
      </w:rPr>
    </w:lvl>
  </w:abstractNum>
  <w:abstractNum w:abstractNumId="6">
    <w:nsid w:val="71315DCA"/>
    <w:multiLevelType w:val="multilevel"/>
    <w:tmpl w:val="71315DCA"/>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1"/>
  </w:num>
  <w:num w:numId="2">
    <w:abstractNumId w:val="6"/>
  </w:num>
  <w:num w:numId="3">
    <w:abstractNumId w:val="3"/>
  </w:num>
  <w:num w:numId="4">
    <w:abstractNumId w:val="5"/>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doNotDisplayPageBoundaries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4E29B3"/>
    <w:rsid w:val="00590D07"/>
    <w:rsid w:val="00784D58"/>
    <w:rsid w:val="008D6863"/>
    <w:rsid w:val="00B86B75"/>
    <w:rsid w:val="00BC48D5"/>
    <w:rsid w:val="00C36279"/>
    <w:rsid w:val="00E315A3"/>
    <w:rsid w:val="B47ED7D8"/>
    <w:rsid w:val="EBFA5912"/>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21"/>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1631</Words>
  <Characters>10627</Characters>
  <Lines>12</Lines>
  <Paragraphs>8</Paragraphs>
  <TotalTime>1</TotalTime>
  <ScaleCrop>false</ScaleCrop>
  <LinksUpToDate>false</LinksUpToDate>
  <CharactersWithSpaces>12025</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2026-03-29T20:10:00Z</dcterms:created>
  <dc:creator>FANGXUN wu</dc:creator>
  <cp:lastModifiedBy>FANGXUN wu</cp:lastModifiedBy>
  <dcterms:modified xsi:type="dcterms:W3CDTF">2026-03-29T20:48:13Z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770965055B3FCB1C247BC9691BACE8A9_42</vt:lpwstr>
  </property>
</Properties>
</file>