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C92D13" w14:paraId="4A787C79" w14:textId="77777777" w:rsidTr="00415997">
        <w:tc>
          <w:tcPr>
            <w:tcW w:w="2689" w:type="dxa"/>
          </w:tcPr>
          <w:p w14:paraId="637E3F1B" w14:textId="77777777" w:rsidR="00C92D13" w:rsidRDefault="00C92D13">
            <w:r>
              <w:rPr>
                <w:noProof/>
              </w:rPr>
              <w:drawing>
                <wp:inline distT="0" distB="0" distL="0" distR="0" wp14:anchorId="2DD5446D" wp14:editId="69AEDA38">
                  <wp:extent cx="1467267" cy="142154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vtech_logo.png"/>
                          <pic:cNvPicPr/>
                        </pic:nvPicPr>
                        <pic:blipFill>
                          <a:blip r:embed="rId8">
                            <a:extLst>
                              <a:ext uri="{28A0092B-C50C-407E-A947-70E740481C1C}">
                                <a14:useLocalDpi xmlns:a14="http://schemas.microsoft.com/office/drawing/2010/main" val="0"/>
                              </a:ext>
                            </a:extLst>
                          </a:blip>
                          <a:stretch>
                            <a:fillRect/>
                          </a:stretch>
                        </pic:blipFill>
                        <pic:spPr>
                          <a:xfrm>
                            <a:off x="0" y="0"/>
                            <a:ext cx="1467267" cy="1421545"/>
                          </a:xfrm>
                          <a:prstGeom prst="rect">
                            <a:avLst/>
                          </a:prstGeom>
                        </pic:spPr>
                      </pic:pic>
                    </a:graphicData>
                  </a:graphic>
                </wp:inline>
              </w:drawing>
            </w:r>
          </w:p>
        </w:tc>
        <w:tc>
          <w:tcPr>
            <w:tcW w:w="6327" w:type="dxa"/>
            <w:vAlign w:val="center"/>
          </w:tcPr>
          <w:p w14:paraId="7D47E711" w14:textId="1831234E" w:rsidR="00C92D13" w:rsidRPr="00C92D13" w:rsidRDefault="00C92D13" w:rsidP="00C92D13">
            <w:pPr>
              <w:jc w:val="center"/>
              <w:rPr>
                <w:b/>
                <w:sz w:val="36"/>
                <w:szCs w:val="36"/>
              </w:rPr>
            </w:pPr>
            <w:r w:rsidRPr="00C92D13">
              <w:rPr>
                <w:b/>
                <w:sz w:val="36"/>
                <w:szCs w:val="36"/>
              </w:rPr>
              <w:t>ARTIFICIAL INTELLIGENCE</w:t>
            </w:r>
            <w:r>
              <w:rPr>
                <w:b/>
                <w:sz w:val="36"/>
                <w:szCs w:val="36"/>
              </w:rPr>
              <w:br/>
            </w:r>
            <w:r w:rsidR="00205C2A">
              <w:rPr>
                <w:b/>
                <w:sz w:val="36"/>
                <w:szCs w:val="36"/>
              </w:rPr>
              <w:t>PRACTICE</w:t>
            </w:r>
          </w:p>
        </w:tc>
      </w:tr>
      <w:tr w:rsidR="00C92D13" w14:paraId="7FA2E577" w14:textId="77777777" w:rsidTr="00415997">
        <w:tc>
          <w:tcPr>
            <w:tcW w:w="9016" w:type="dxa"/>
            <w:gridSpan w:val="2"/>
          </w:tcPr>
          <w:p w14:paraId="0B4C0D32" w14:textId="5DA51818" w:rsidR="00C92D13" w:rsidRPr="00C92D13" w:rsidRDefault="00C92D13" w:rsidP="00C92D13">
            <w:pPr>
              <w:jc w:val="center"/>
              <w:rPr>
                <w:b/>
                <w:i/>
              </w:rPr>
            </w:pPr>
            <w:r w:rsidRPr="00C92D13">
              <w:rPr>
                <w:b/>
                <w:i/>
              </w:rPr>
              <w:t>Case Study Interview</w:t>
            </w:r>
          </w:p>
        </w:tc>
      </w:tr>
      <w:tr w:rsidR="001004B5" w14:paraId="4AB3E67E" w14:textId="77777777" w:rsidTr="00415997">
        <w:tc>
          <w:tcPr>
            <w:tcW w:w="9016" w:type="dxa"/>
            <w:gridSpan w:val="2"/>
          </w:tcPr>
          <w:p w14:paraId="4D4932AF" w14:textId="77777777" w:rsidR="001004B5" w:rsidRDefault="001004B5" w:rsidP="00C92D13">
            <w:pPr>
              <w:jc w:val="center"/>
              <w:rPr>
                <w:b/>
                <w:i/>
              </w:rPr>
            </w:pPr>
          </w:p>
          <w:p w14:paraId="0C2A3806" w14:textId="77777777" w:rsidR="001004B5" w:rsidRPr="00C92D13" w:rsidRDefault="001004B5" w:rsidP="00C92D13">
            <w:pPr>
              <w:jc w:val="center"/>
              <w:rPr>
                <w:b/>
                <w:i/>
              </w:rPr>
            </w:pPr>
          </w:p>
        </w:tc>
      </w:tr>
    </w:tbl>
    <w:p w14:paraId="729E3EF8" w14:textId="77777777" w:rsidR="0060363E" w:rsidRDefault="0060363E"/>
    <w:p w14:paraId="3BE2B012" w14:textId="77777777" w:rsidR="00C92D13" w:rsidRPr="00C92D13" w:rsidRDefault="00C92D13" w:rsidP="00C92D13">
      <w:pPr>
        <w:pStyle w:val="IntenseQuote"/>
        <w:spacing w:before="120" w:after="120" w:line="240" w:lineRule="auto"/>
        <w:ind w:left="862" w:right="862"/>
        <w:jc w:val="left"/>
        <w:rPr>
          <w:b/>
        </w:rPr>
      </w:pPr>
      <w:r w:rsidRPr="00C92D13">
        <w:rPr>
          <w:b/>
        </w:rPr>
        <w:t>Instructions for completing the case study</w:t>
      </w:r>
    </w:p>
    <w:p w14:paraId="028985AC" w14:textId="77777777" w:rsidR="00C92D13" w:rsidRDefault="00C92D13" w:rsidP="00C92D13">
      <w:pPr>
        <w:pStyle w:val="IntenseQuote"/>
        <w:spacing w:before="120" w:after="120" w:line="240" w:lineRule="auto"/>
        <w:ind w:left="862" w:right="862"/>
        <w:jc w:val="left"/>
      </w:pPr>
      <w:r>
        <w:t>This case study is divided into two sections:</w:t>
      </w:r>
    </w:p>
    <w:p w14:paraId="70D9D6DF" w14:textId="3BF89EE5" w:rsidR="00C92D13" w:rsidRDefault="00C92D13" w:rsidP="00C92D13">
      <w:pPr>
        <w:pStyle w:val="IntenseQuote"/>
        <w:numPr>
          <w:ilvl w:val="0"/>
          <w:numId w:val="4"/>
        </w:numPr>
        <w:spacing w:before="120" w:after="120" w:line="240" w:lineRule="auto"/>
        <w:ind w:right="862"/>
        <w:jc w:val="left"/>
      </w:pPr>
      <w:r>
        <w:t>Section 1 aims to assess your technical understanding in a variety of topics.</w:t>
      </w:r>
      <w:r w:rsidR="00415997">
        <w:t xml:space="preserve"> Please answer </w:t>
      </w:r>
      <w:r w:rsidR="00415997" w:rsidRPr="00415997">
        <w:rPr>
          <w:b/>
          <w:bCs/>
        </w:rPr>
        <w:t>ALL</w:t>
      </w:r>
      <w:r w:rsidR="00415997">
        <w:t xml:space="preserve"> the questions in this section.</w:t>
      </w:r>
    </w:p>
    <w:p w14:paraId="70151C7A" w14:textId="7F28EAD5" w:rsidR="00C92D13" w:rsidRDefault="00C92D13" w:rsidP="00C92D13">
      <w:pPr>
        <w:pStyle w:val="IntenseQuote"/>
        <w:numPr>
          <w:ilvl w:val="0"/>
          <w:numId w:val="4"/>
        </w:numPr>
        <w:spacing w:before="120" w:after="120" w:line="240" w:lineRule="auto"/>
        <w:ind w:right="862"/>
        <w:jc w:val="left"/>
      </w:pPr>
      <w:r>
        <w:t xml:space="preserve">Section 2 aims to assess your ability to develop an analytical use case </w:t>
      </w:r>
      <w:r w:rsidRPr="00C92D13">
        <w:rPr>
          <w:b/>
        </w:rPr>
        <w:t>in depth</w:t>
      </w:r>
      <w:r>
        <w:t xml:space="preserve">. This includes scoping an analytics project from a </w:t>
      </w:r>
      <w:r w:rsidR="000856FD">
        <w:t>broadly defined</w:t>
      </w:r>
      <w:r>
        <w:t xml:space="preserve"> problem, applying relevant data science techniques to derive meaningful insights, and communicating your findings in a coherent and impactful narrative to stakeholders with appropriate visuals.</w:t>
      </w:r>
      <w:r w:rsidR="00415997">
        <w:t xml:space="preserve"> Please pick </w:t>
      </w:r>
      <w:r w:rsidR="00415997" w:rsidRPr="00415997">
        <w:rPr>
          <w:b/>
          <w:bCs/>
        </w:rPr>
        <w:t>ONE</w:t>
      </w:r>
      <w:r w:rsidR="00415997">
        <w:t xml:space="preserve"> of the hypothetical scenarios in this section.</w:t>
      </w:r>
    </w:p>
    <w:p w14:paraId="6A289546" w14:textId="1658FCF6" w:rsidR="00415997" w:rsidRDefault="00415997" w:rsidP="00C92D13">
      <w:pPr>
        <w:pStyle w:val="IntenseQuote"/>
        <w:spacing w:before="120" w:after="120" w:line="240" w:lineRule="auto"/>
        <w:ind w:left="862" w:right="862"/>
        <w:jc w:val="left"/>
      </w:pPr>
      <w:r>
        <w:t>A list of suggested data sources for each section is included in the annex. You may use them (or any other publicly available data source) for each question.</w:t>
      </w:r>
    </w:p>
    <w:p w14:paraId="74F261A3" w14:textId="31F91B27" w:rsidR="00C92D13" w:rsidRDefault="00C92D13" w:rsidP="00C92D13">
      <w:pPr>
        <w:pStyle w:val="IntenseQuote"/>
        <w:spacing w:before="120" w:after="120" w:line="240" w:lineRule="auto"/>
        <w:ind w:left="862" w:right="862"/>
        <w:jc w:val="left"/>
      </w:pPr>
      <w:r>
        <w:t xml:space="preserve">The entire case is to be completed within </w:t>
      </w:r>
      <w:r w:rsidR="001752F4">
        <w:t>36</w:t>
      </w:r>
      <w:r>
        <w:t xml:space="preserve"> hours from the time you receive it. You are advised to allocate more time to Section 2 than Section 1.</w:t>
      </w:r>
    </w:p>
    <w:p w14:paraId="1198AB05" w14:textId="77777777" w:rsidR="00C92D13" w:rsidRDefault="00C92D13" w:rsidP="00C92D13">
      <w:pPr>
        <w:pStyle w:val="IntenseQuote"/>
        <w:spacing w:before="120" w:after="120" w:line="240" w:lineRule="auto"/>
        <w:ind w:left="862" w:right="862"/>
        <w:jc w:val="left"/>
      </w:pPr>
      <w:r>
        <w:t>Please submit the following within the allocated time:</w:t>
      </w:r>
    </w:p>
    <w:p w14:paraId="28E59B96" w14:textId="77777777" w:rsidR="00C92D13" w:rsidRDefault="00C92D13" w:rsidP="00C92D13">
      <w:pPr>
        <w:pStyle w:val="IntenseQuote"/>
        <w:numPr>
          <w:ilvl w:val="0"/>
          <w:numId w:val="2"/>
        </w:numPr>
        <w:spacing w:before="120" w:after="120" w:line="240" w:lineRule="auto"/>
        <w:ind w:right="862"/>
        <w:jc w:val="left"/>
      </w:pPr>
      <w:r>
        <w:t>A deck of slides for each section, preferably in *.pptx or *.pdf form;</w:t>
      </w:r>
    </w:p>
    <w:p w14:paraId="0B8E88E3" w14:textId="2FD7C29A" w:rsidR="00C92D13" w:rsidRDefault="00C92D13" w:rsidP="00C92D13">
      <w:pPr>
        <w:pStyle w:val="IntenseQuote"/>
        <w:numPr>
          <w:ilvl w:val="0"/>
          <w:numId w:val="2"/>
        </w:numPr>
        <w:spacing w:before="120" w:after="120" w:line="240" w:lineRule="auto"/>
        <w:ind w:right="862"/>
        <w:jc w:val="left"/>
      </w:pPr>
      <w:r>
        <w:t>The complete code used in your analysis, such that we should be able to run the code ourselves with appropriate languages / tools, and reach conclusions comparable to what you include in your deck.</w:t>
      </w:r>
      <w:r w:rsidR="000F6D0E">
        <w:t xml:space="preserve"> </w:t>
      </w:r>
      <w:r w:rsidR="00F71597" w:rsidRPr="00F71597">
        <w:t xml:space="preserve">Please convert your code files or notebooks to </w:t>
      </w:r>
      <w:r w:rsidR="00F71597">
        <w:t>*.pdf</w:t>
      </w:r>
      <w:r w:rsidR="00F71597" w:rsidRPr="00F71597">
        <w:t xml:space="preserve"> or </w:t>
      </w:r>
      <w:r w:rsidR="00F71597">
        <w:t>*.txt</w:t>
      </w:r>
      <w:r w:rsidR="00F71597" w:rsidRPr="00F71597">
        <w:t xml:space="preserve"> format.</w:t>
      </w:r>
    </w:p>
    <w:p w14:paraId="76261333" w14:textId="77777777" w:rsidR="00C92D13" w:rsidRDefault="00C92D13" w:rsidP="00C92D13">
      <w:pPr>
        <w:pStyle w:val="IntenseQuote"/>
        <w:spacing w:before="120" w:after="120" w:line="240" w:lineRule="auto"/>
        <w:ind w:left="862" w:right="862"/>
        <w:jc w:val="left"/>
      </w:pPr>
    </w:p>
    <w:p w14:paraId="2DBB8836" w14:textId="77777777" w:rsidR="00C92D13" w:rsidRPr="00C92D13" w:rsidRDefault="00C92D13" w:rsidP="00C92D13">
      <w:pPr>
        <w:pStyle w:val="IntenseQuote"/>
        <w:spacing w:before="120" w:after="120" w:line="240" w:lineRule="auto"/>
        <w:ind w:left="862" w:right="862"/>
        <w:jc w:val="left"/>
        <w:rPr>
          <w:b/>
        </w:rPr>
      </w:pPr>
      <w:r w:rsidRPr="00C92D13">
        <w:rPr>
          <w:b/>
        </w:rPr>
        <w:t>Instructions for interview</w:t>
      </w:r>
    </w:p>
    <w:p w14:paraId="0E653CB0" w14:textId="6BC99703" w:rsidR="00C92D13" w:rsidRDefault="00C92D13" w:rsidP="00C92D13">
      <w:pPr>
        <w:pStyle w:val="IntenseQuote"/>
        <w:spacing w:before="120" w:after="120" w:line="240" w:lineRule="auto"/>
        <w:ind w:left="862" w:right="862"/>
        <w:jc w:val="left"/>
      </w:pPr>
      <w:r>
        <w:t xml:space="preserve">You will meet two or more current members of the </w:t>
      </w:r>
      <w:r w:rsidR="009F3F61">
        <w:t xml:space="preserve">AI Practice </w:t>
      </w:r>
      <w:r w:rsidR="00E74071">
        <w:t>Team</w:t>
      </w:r>
      <w:r>
        <w:t xml:space="preserve"> for around an hour, where you will be invited to deliver your findings for Section 2 as though they were scenario-specific stakeholders. In addition, you may be asked questions relating to your work for both sections.</w:t>
      </w:r>
    </w:p>
    <w:p w14:paraId="5CD5E0D6" w14:textId="77777777" w:rsidR="00C92D13" w:rsidRDefault="00C92D13" w:rsidP="00C92D13">
      <w:pPr>
        <w:pStyle w:val="IntenseQuote"/>
        <w:spacing w:before="120" w:after="120" w:line="240" w:lineRule="auto"/>
        <w:ind w:left="862" w:right="862"/>
        <w:jc w:val="left"/>
      </w:pPr>
      <w:r>
        <w:t>You will be assessed on the quality of your delivery, as well as the validity of your answers.</w:t>
      </w:r>
    </w:p>
    <w:p w14:paraId="141F54BA" w14:textId="77777777" w:rsidR="00C92D13" w:rsidRDefault="00C92D13" w:rsidP="00C92D13"/>
    <w:p w14:paraId="11021507" w14:textId="77777777" w:rsidR="009C5661" w:rsidRDefault="009C5661">
      <w:r>
        <w:br w:type="page"/>
      </w:r>
    </w:p>
    <w:p w14:paraId="15D88A9C" w14:textId="77777777" w:rsidR="00415997" w:rsidRDefault="009C5661" w:rsidP="00415997">
      <w:pPr>
        <w:pStyle w:val="IntenseQuote"/>
        <w:spacing w:before="120" w:after="120" w:line="240" w:lineRule="auto"/>
        <w:ind w:left="862" w:right="862"/>
      </w:pPr>
      <w:r w:rsidRPr="009C5661">
        <w:rPr>
          <w:b/>
        </w:rPr>
        <w:lastRenderedPageBreak/>
        <w:t>Section 1</w:t>
      </w:r>
    </w:p>
    <w:p w14:paraId="0310995D" w14:textId="2F4A2CC8" w:rsidR="009C5661" w:rsidRPr="00415997" w:rsidRDefault="00415997" w:rsidP="00415997">
      <w:pPr>
        <w:pStyle w:val="IntenseQuote"/>
        <w:spacing w:before="120" w:after="120" w:line="240" w:lineRule="auto"/>
        <w:ind w:left="862" w:right="862"/>
        <w:jc w:val="left"/>
        <w:rPr>
          <w:bCs/>
        </w:rPr>
      </w:pPr>
      <w:r w:rsidRPr="00415997">
        <w:rPr>
          <w:bCs/>
        </w:rPr>
        <w:t xml:space="preserve">Please answer </w:t>
      </w:r>
      <w:r w:rsidRPr="00415997">
        <w:rPr>
          <w:b/>
        </w:rPr>
        <w:t>ALL</w:t>
      </w:r>
      <w:r w:rsidRPr="00415997">
        <w:rPr>
          <w:bCs/>
        </w:rPr>
        <w:t xml:space="preserve"> the questions in this section</w:t>
      </w:r>
      <w:r>
        <w:rPr>
          <w:bCs/>
        </w:rPr>
        <w:t>.</w:t>
      </w:r>
    </w:p>
    <w:p w14:paraId="0D0B6A61" w14:textId="77777777" w:rsidR="00415997" w:rsidRDefault="00415997" w:rsidP="00415997">
      <w:pPr>
        <w:spacing w:line="216" w:lineRule="auto"/>
        <w:rPr>
          <w:b/>
          <w:u w:val="single"/>
        </w:rPr>
      </w:pPr>
    </w:p>
    <w:p w14:paraId="262B49A2" w14:textId="7E57F203" w:rsidR="009C5661" w:rsidRPr="00B55AEE" w:rsidRDefault="009C5661" w:rsidP="00CB2958">
      <w:pPr>
        <w:spacing w:line="216" w:lineRule="auto"/>
        <w:rPr>
          <w:b/>
          <w:u w:val="single"/>
        </w:rPr>
      </w:pPr>
      <w:r w:rsidRPr="00B55AEE">
        <w:rPr>
          <w:b/>
          <w:u w:val="single"/>
        </w:rPr>
        <w:t>Question 1 (</w:t>
      </w:r>
      <w:r w:rsidR="00E91E1C">
        <w:rPr>
          <w:b/>
          <w:u w:val="single"/>
        </w:rPr>
        <w:t>Data Storytelling</w:t>
      </w:r>
      <w:r w:rsidRPr="00B55AEE">
        <w:rPr>
          <w:b/>
          <w:u w:val="single"/>
        </w:rPr>
        <w:t>)</w:t>
      </w:r>
    </w:p>
    <w:p w14:paraId="304684D0" w14:textId="77777777" w:rsidR="00E91E1C" w:rsidRDefault="002654EB" w:rsidP="00CB2958">
      <w:pPr>
        <w:spacing w:line="216" w:lineRule="auto"/>
      </w:pPr>
      <w:r>
        <w:t xml:space="preserve">The HDB Resale Portal was officially launched in Jan 2018 to </w:t>
      </w:r>
      <w:r w:rsidR="00912906">
        <w:t>streamline</w:t>
      </w:r>
      <w:r>
        <w:t xml:space="preserve"> transaction of HDB resale flats. </w:t>
      </w:r>
      <w:r w:rsidR="00357855">
        <w:t>This</w:t>
      </w:r>
      <w:r>
        <w:t xml:space="preserve"> has made it easier for buyers and/or sellers to </w:t>
      </w:r>
      <w:r w:rsidR="00357855">
        <w:t>carry out transactions on their own,</w:t>
      </w:r>
      <w:r>
        <w:t xml:space="preserve"> without </w:t>
      </w:r>
      <w:r w:rsidR="00357855">
        <w:t>utilising</w:t>
      </w:r>
      <w:r>
        <w:t xml:space="preserve"> a property</w:t>
      </w:r>
      <w:r w:rsidR="00E91E1C">
        <w:t xml:space="preserve"> agent’s professional services.</w:t>
      </w:r>
    </w:p>
    <w:p w14:paraId="65B49415" w14:textId="3B9149FD" w:rsidR="002654EB" w:rsidRDefault="002654EB" w:rsidP="00CB2958">
      <w:pPr>
        <w:spacing w:line="216" w:lineRule="auto"/>
      </w:pPr>
      <w:r>
        <w:t xml:space="preserve">Using relevant data from 2017 onwards, </w:t>
      </w:r>
      <w:r w:rsidR="00357855">
        <w:t>quantify the business impact on</w:t>
      </w:r>
      <w:r>
        <w:t xml:space="preserve"> agents.</w:t>
      </w:r>
      <w:r w:rsidR="00E91E1C">
        <w:t xml:space="preserve"> Present your findings in the form of a data story suitable for general public consumption (e.g.</w:t>
      </w:r>
      <w:r w:rsidR="00EF405C">
        <w:t>:</w:t>
      </w:r>
      <w:r w:rsidR="00E91E1C">
        <w:t xml:space="preserve"> a series of annotated charts and/or tables, a blog post-style write-up with accompanying visualizations, etc.).</w:t>
      </w:r>
    </w:p>
    <w:p w14:paraId="1D64AC36" w14:textId="2D35FF09" w:rsidR="00E96411" w:rsidRDefault="009C5661" w:rsidP="003653E7">
      <w:pPr>
        <w:spacing w:line="216" w:lineRule="auto"/>
        <w:jc w:val="center"/>
      </w:pPr>
      <w:r>
        <w:t>~</w:t>
      </w:r>
    </w:p>
    <w:p w14:paraId="092BF93C" w14:textId="77777777" w:rsidR="00F26EE6" w:rsidRPr="00640A69" w:rsidRDefault="00BA17FA" w:rsidP="00F26EE6">
      <w:pPr>
        <w:spacing w:line="216" w:lineRule="auto"/>
        <w:rPr>
          <w:u w:val="single"/>
        </w:rPr>
      </w:pPr>
      <w:r w:rsidRPr="00640A69">
        <w:rPr>
          <w:b/>
          <w:bCs/>
          <w:u w:val="single"/>
        </w:rPr>
        <w:t>Question 2 (Prediction</w:t>
      </w:r>
      <w:r w:rsidRPr="00640A69">
        <w:rPr>
          <w:u w:val="single"/>
        </w:rPr>
        <w:t>)</w:t>
      </w:r>
      <w:r w:rsidR="00F26EE6" w:rsidRPr="00640A69">
        <w:rPr>
          <w:u w:val="single"/>
        </w:rPr>
        <w:t xml:space="preserve"> </w:t>
      </w:r>
    </w:p>
    <w:p w14:paraId="1927794C" w14:textId="77777777" w:rsidR="00F26EE6" w:rsidRDefault="00F26EE6" w:rsidP="00F26EE6">
      <w:pPr>
        <w:spacing w:line="216" w:lineRule="auto"/>
      </w:pPr>
      <w:r w:rsidRPr="00F26EE6">
        <w:t xml:space="preserve">There is growing concern over the volatility and sustained high prices of COEs in Singapore. The Land Transport Authority (LTA) needs to better understand the relationship between COE quotas and prices to make more informed policy decisions. </w:t>
      </w:r>
    </w:p>
    <w:p w14:paraId="353DE320" w14:textId="4C6C62D8" w:rsidR="00BA17FA" w:rsidRPr="00F26EE6" w:rsidRDefault="00F26EE6" w:rsidP="00F26EE6">
      <w:pPr>
        <w:spacing w:line="216" w:lineRule="auto"/>
      </w:pPr>
      <w:r w:rsidRPr="00F26EE6">
        <w:t xml:space="preserve">Your team has been tasked to develop a model to predict COE prices across all vehicle categories </w:t>
      </w:r>
      <w:r w:rsidR="001275D4">
        <w:t xml:space="preserve">and </w:t>
      </w:r>
      <w:r w:rsidRPr="00F26EE6">
        <w:t>recommend optimal quota adjustment strategies to stabilise COE prices</w:t>
      </w:r>
      <w:r w:rsidR="00B9694B">
        <w:t>.</w:t>
      </w:r>
    </w:p>
    <w:p w14:paraId="27E14A08" w14:textId="77777777" w:rsidR="00B55AEE" w:rsidRPr="00F26EE6" w:rsidRDefault="00B55AEE" w:rsidP="00E83CD6">
      <w:pPr>
        <w:pStyle w:val="IntenseQuote"/>
        <w:rPr>
          <w:b/>
          <w:bCs/>
        </w:rPr>
      </w:pPr>
      <w:r>
        <w:t>End of Section 1</w:t>
      </w:r>
    </w:p>
    <w:p w14:paraId="08E1D533" w14:textId="77777777" w:rsidR="00E83CD6" w:rsidRDefault="00E83CD6">
      <w:r>
        <w:br w:type="page"/>
      </w:r>
    </w:p>
    <w:p w14:paraId="1431F720" w14:textId="77777777" w:rsidR="00E83CD6" w:rsidRPr="00E83CD6" w:rsidRDefault="00E83CD6" w:rsidP="00415997">
      <w:pPr>
        <w:pStyle w:val="IntenseQuote"/>
        <w:spacing w:before="120" w:after="120" w:line="240" w:lineRule="auto"/>
        <w:ind w:right="862"/>
        <w:rPr>
          <w:b/>
        </w:rPr>
      </w:pPr>
      <w:r w:rsidRPr="00E83CD6">
        <w:rPr>
          <w:b/>
        </w:rPr>
        <w:lastRenderedPageBreak/>
        <w:t>Section 2</w:t>
      </w:r>
    </w:p>
    <w:p w14:paraId="5BE24830" w14:textId="77777777" w:rsidR="00E83CD6" w:rsidRDefault="00E83CD6" w:rsidP="00E83CD6">
      <w:pPr>
        <w:pStyle w:val="IntenseQuote"/>
        <w:spacing w:before="120" w:after="120" w:line="240" w:lineRule="auto"/>
        <w:ind w:right="862"/>
        <w:jc w:val="left"/>
      </w:pPr>
      <w:r>
        <w:t xml:space="preserve">Please pick </w:t>
      </w:r>
      <w:r w:rsidRPr="00E83CD6">
        <w:rPr>
          <w:b/>
        </w:rPr>
        <w:t>ONE</w:t>
      </w:r>
      <w:r>
        <w:t xml:space="preserve"> of the hypothetical scenarios in this section, and prepare a deck to brief the relevant hypothetical senior management about your findings.</w:t>
      </w:r>
    </w:p>
    <w:p w14:paraId="12F830CF" w14:textId="77777777" w:rsidR="00E83CD6" w:rsidRDefault="00E83CD6" w:rsidP="00E83CD6">
      <w:pPr>
        <w:pStyle w:val="IntenseQuote"/>
        <w:spacing w:before="120" w:after="120" w:line="240" w:lineRule="auto"/>
        <w:ind w:right="862"/>
        <w:jc w:val="left"/>
      </w:pPr>
      <w:r>
        <w:t>Points to note in the hypothetical scenario:</w:t>
      </w:r>
    </w:p>
    <w:p w14:paraId="567520BB" w14:textId="77777777" w:rsidR="00E83CD6" w:rsidRDefault="00E83CD6" w:rsidP="00E83CD6">
      <w:pPr>
        <w:pStyle w:val="IntenseQuote"/>
        <w:numPr>
          <w:ilvl w:val="0"/>
          <w:numId w:val="8"/>
        </w:numPr>
        <w:spacing w:before="120" w:after="120" w:line="240" w:lineRule="auto"/>
        <w:ind w:right="862"/>
        <w:jc w:val="left"/>
      </w:pPr>
      <w:r>
        <w:t>You are allocated 30 minutes for a face-to-face briefing, excluding Q&amp;A.</w:t>
      </w:r>
    </w:p>
    <w:p w14:paraId="6675943A" w14:textId="77777777" w:rsidR="00E83CD6" w:rsidRDefault="00E83CD6" w:rsidP="00E83CD6">
      <w:pPr>
        <w:pStyle w:val="IntenseQuote"/>
        <w:numPr>
          <w:ilvl w:val="0"/>
          <w:numId w:val="8"/>
        </w:numPr>
        <w:spacing w:before="120" w:after="120" w:line="240" w:lineRule="auto"/>
        <w:ind w:right="862"/>
        <w:jc w:val="left"/>
      </w:pPr>
      <w:r>
        <w:t>Your deck will be circulated to the management for reading beforehand.</w:t>
      </w:r>
    </w:p>
    <w:p w14:paraId="47C45D4C" w14:textId="77777777" w:rsidR="00E83CD6" w:rsidRDefault="00E83CD6" w:rsidP="00E83CD6">
      <w:pPr>
        <w:pStyle w:val="IntenseQuote"/>
        <w:numPr>
          <w:ilvl w:val="0"/>
          <w:numId w:val="8"/>
        </w:numPr>
        <w:spacing w:before="120" w:after="120" w:line="240" w:lineRule="auto"/>
        <w:ind w:right="862"/>
        <w:jc w:val="left"/>
      </w:pPr>
      <w:r>
        <w:t>Management includes a mix of directors from technical as well as non-technical backgrounds.</w:t>
      </w:r>
    </w:p>
    <w:p w14:paraId="533BF97C" w14:textId="01D0AB1C" w:rsidR="004232F5" w:rsidRDefault="00E83CD6" w:rsidP="00E83CD6">
      <w:pPr>
        <w:pStyle w:val="IntenseQuote"/>
        <w:numPr>
          <w:ilvl w:val="0"/>
          <w:numId w:val="8"/>
        </w:numPr>
        <w:spacing w:before="120" w:after="120" w:line="240" w:lineRule="auto"/>
        <w:ind w:right="862"/>
        <w:jc w:val="left"/>
      </w:pPr>
      <w:r>
        <w:t>Management is not available for further clarification</w:t>
      </w:r>
      <w:r w:rsidR="00A45CF7">
        <w:t xml:space="preserve"> before the presentation</w:t>
      </w:r>
      <w:r>
        <w:t>. If you find the scenario coached in overly broad terms, you may make reasonable assumptions to narrow things down, but be prepared to explain / justify them.</w:t>
      </w:r>
    </w:p>
    <w:p w14:paraId="3EDEF1D3" w14:textId="77777777" w:rsidR="00E83CD6" w:rsidRDefault="004232F5" w:rsidP="00E83CD6">
      <w:pPr>
        <w:pStyle w:val="IntenseQuote"/>
        <w:numPr>
          <w:ilvl w:val="0"/>
          <w:numId w:val="8"/>
        </w:numPr>
        <w:spacing w:before="120" w:after="120" w:line="240" w:lineRule="auto"/>
        <w:ind w:right="862"/>
        <w:jc w:val="left"/>
      </w:pPr>
      <w:r>
        <w:t>Management will be willing (within reason) to clarify during / after the presentation. You may include a list of questions you’d like to ask them at the end, if you so desire.</w:t>
      </w:r>
    </w:p>
    <w:p w14:paraId="559A00C4" w14:textId="454D5E3E" w:rsidR="00E83CD6" w:rsidRDefault="00E83CD6" w:rsidP="00E83CD6">
      <w:pPr>
        <w:pStyle w:val="IntenseQuote"/>
        <w:numPr>
          <w:ilvl w:val="0"/>
          <w:numId w:val="8"/>
        </w:numPr>
        <w:spacing w:before="120" w:after="120" w:line="240" w:lineRule="auto"/>
        <w:ind w:right="862"/>
        <w:jc w:val="left"/>
      </w:pPr>
      <w:r>
        <w:t>Management is interested to hear what can be done to further improve the analysis, given more time / resources / etc., if the problem described in the scenario surfaces again in the future.</w:t>
      </w:r>
    </w:p>
    <w:p w14:paraId="25E4C44A" w14:textId="44255A66" w:rsidR="00C35538" w:rsidRDefault="00C35538"/>
    <w:p w14:paraId="544B23BF" w14:textId="77777777" w:rsidR="00C35538" w:rsidRPr="00C35538" w:rsidRDefault="00C35538" w:rsidP="002753FD">
      <w:pPr>
        <w:spacing w:line="216" w:lineRule="auto"/>
        <w:rPr>
          <w:b/>
          <w:u w:val="single"/>
        </w:rPr>
      </w:pPr>
      <w:r w:rsidRPr="00C35538">
        <w:rPr>
          <w:b/>
          <w:u w:val="single"/>
        </w:rPr>
        <w:t>Scenario 1</w:t>
      </w:r>
    </w:p>
    <w:p w14:paraId="61A7408F" w14:textId="77777777" w:rsidR="00A45CF7" w:rsidRDefault="00A45CF7" w:rsidP="002753FD">
      <w:pPr>
        <w:spacing w:line="216" w:lineRule="auto"/>
      </w:pPr>
      <w:r>
        <w:t xml:space="preserve">There is concern over mismatch of demand and supply for preschools (see </w:t>
      </w:r>
      <w:hyperlink r:id="rId9" w:history="1">
        <w:r w:rsidRPr="00A45CF7">
          <w:rPr>
            <w:rStyle w:val="Hyperlink"/>
          </w:rPr>
          <w:t>The Big Read: The preschool conundrum — why shortage of places persists in some estates despite millions invested</w:t>
        </w:r>
      </w:hyperlink>
      <w:r>
        <w:t>).</w:t>
      </w:r>
    </w:p>
    <w:p w14:paraId="6864968C" w14:textId="53528A8D" w:rsidR="00A45CF7" w:rsidRDefault="00A45CF7" w:rsidP="002753FD">
      <w:pPr>
        <w:spacing w:line="216" w:lineRule="auto"/>
      </w:pPr>
      <w:r>
        <w:t xml:space="preserve">The </w:t>
      </w:r>
      <w:r w:rsidRPr="00A45CF7">
        <w:t>Early Childhood Development Agency</w:t>
      </w:r>
      <w:r>
        <w:t xml:space="preserve"> </w:t>
      </w:r>
      <w:r w:rsidR="00204591">
        <w:t xml:space="preserve">(ECDA) </w:t>
      </w:r>
      <w:r>
        <w:t xml:space="preserve">has asked your team to forecast the </w:t>
      </w:r>
      <w:r w:rsidR="00A20AA7">
        <w:t xml:space="preserve">subzone-level </w:t>
      </w:r>
      <w:r>
        <w:t xml:space="preserve">demand for </w:t>
      </w:r>
      <w:r w:rsidR="00A20AA7">
        <w:t xml:space="preserve">preschool services, in particular those providing childcare (18 months to 6 years) programmes, over the next 5 years, </w:t>
      </w:r>
      <w:r w:rsidR="00204591">
        <w:t>to</w:t>
      </w:r>
      <w:r w:rsidR="00387C4D">
        <w:t xml:space="preserve"> determine where</w:t>
      </w:r>
      <w:r w:rsidR="00A20AA7">
        <w:t xml:space="preserve"> they should </w:t>
      </w:r>
      <w:r w:rsidR="00387C4D">
        <w:t xml:space="preserve">prioritize </w:t>
      </w:r>
      <w:r w:rsidR="00A20AA7">
        <w:t>build</w:t>
      </w:r>
      <w:r w:rsidR="00387C4D">
        <w:t>ing</w:t>
      </w:r>
      <w:r w:rsidR="00A20AA7">
        <w:t xml:space="preserve"> / </w:t>
      </w:r>
      <w:r w:rsidR="00387C4D">
        <w:t>relocating</w:t>
      </w:r>
      <w:r w:rsidR="00A20AA7">
        <w:t xml:space="preserve"> preschools.</w:t>
      </w:r>
      <w:r w:rsidR="00B82E20">
        <w:t xml:space="preserve"> As a planning norm, you may assume each preschool can accommodate up to 100 children.</w:t>
      </w:r>
    </w:p>
    <w:p w14:paraId="75F06893" w14:textId="36086AA8" w:rsidR="00A20AA7" w:rsidRDefault="00A20AA7" w:rsidP="002753FD">
      <w:pPr>
        <w:spacing w:line="216" w:lineRule="auto"/>
      </w:pPr>
      <w:r>
        <w:t>In addition to the one-off forecast, ECDA staff want</w:t>
      </w:r>
      <w:r w:rsidR="00970F5D">
        <w:t>s</w:t>
      </w:r>
      <w:r>
        <w:t xml:space="preserve"> a tool that they can use to make subsequent decisions on a regular basis (e.g.</w:t>
      </w:r>
      <w:r w:rsidR="00204591">
        <w:t>:</w:t>
      </w:r>
      <w:r>
        <w:t xml:space="preserve"> every time they receive updated population statistics</w:t>
      </w:r>
      <w:r w:rsidR="00BB4CED">
        <w:t>, update newly opened / closed preschools, learn about upcoming BTO sites, etc.</w:t>
      </w:r>
      <w:r>
        <w:t xml:space="preserve">). While they do not expect your team to produce a full-fledged product within 2 days, they would like to have some idea of what the eventual tool could look like, as well as how </w:t>
      </w:r>
      <w:r w:rsidR="00970F5D">
        <w:t>it could be deployed</w:t>
      </w:r>
      <w:r>
        <w:t>.</w:t>
      </w:r>
    </w:p>
    <w:p w14:paraId="22E8C8F0" w14:textId="77777777" w:rsidR="00C35538" w:rsidRDefault="00C35538" w:rsidP="002753FD">
      <w:pPr>
        <w:spacing w:line="216" w:lineRule="auto"/>
        <w:jc w:val="center"/>
      </w:pPr>
      <w:r>
        <w:t>~</w:t>
      </w:r>
    </w:p>
    <w:p w14:paraId="57716AA4" w14:textId="77777777" w:rsidR="002422C5" w:rsidRDefault="002422C5" w:rsidP="002422C5">
      <w:pPr>
        <w:spacing w:line="216" w:lineRule="auto"/>
        <w:rPr>
          <w:b/>
          <w:u w:val="single"/>
        </w:rPr>
      </w:pPr>
      <w:r w:rsidRPr="00C35538">
        <w:rPr>
          <w:b/>
          <w:u w:val="single"/>
        </w:rPr>
        <w:t>Scenario 2</w:t>
      </w:r>
    </w:p>
    <w:p w14:paraId="3514EC0C" w14:textId="447066AE" w:rsidR="00A376DB" w:rsidRDefault="00A376DB" w:rsidP="002422C5">
      <w:pPr>
        <w:spacing w:line="216" w:lineRule="auto"/>
      </w:pPr>
      <w:r>
        <w:t xml:space="preserve">In response to a </w:t>
      </w:r>
      <w:hyperlink r:id="rId10" w:history="1">
        <w:r w:rsidRPr="00387C4D">
          <w:rPr>
            <w:rStyle w:val="Hyperlink"/>
          </w:rPr>
          <w:t xml:space="preserve">call for suggestions on ways to improve cycling experience </w:t>
        </w:r>
        <w:r w:rsidR="007334FE">
          <w:rPr>
            <w:rStyle w:val="Hyperlink"/>
          </w:rPr>
          <w:t>in</w:t>
        </w:r>
      </w:hyperlink>
      <w:r w:rsidR="007334FE">
        <w:rPr>
          <w:rStyle w:val="Hyperlink"/>
        </w:rPr>
        <w:t xml:space="preserve"> a neighbourhood</w:t>
      </w:r>
      <w:r>
        <w:t>, some netizens remarked that urban planners have designed Singapore’</w:t>
      </w:r>
      <w:r w:rsidR="00387C4D">
        <w:t>s cycling routes</w:t>
      </w:r>
      <w:r w:rsidR="00387C4D">
        <w:rPr>
          <w:rStyle w:val="FootnoteReference"/>
        </w:rPr>
        <w:footnoteReference w:id="1"/>
      </w:r>
      <w:r>
        <w:t xml:space="preserve"> for two use cases (cycling for leisure within one’s own neighbourhood, and cycling to the nearest transport node for transfer onto public transport) while neglecting a third use case: cycling </w:t>
      </w:r>
      <w:r>
        <w:rPr>
          <w:i/>
        </w:rPr>
        <w:t>all</w:t>
      </w:r>
      <w:r>
        <w:t xml:space="preserve"> the way </w:t>
      </w:r>
      <w:r w:rsidR="00387C4D">
        <w:t>between</w:t>
      </w:r>
      <w:r>
        <w:t xml:space="preserve"> home </w:t>
      </w:r>
      <w:r w:rsidR="00387C4D">
        <w:t>and</w:t>
      </w:r>
      <w:r>
        <w:t xml:space="preserve"> work.</w:t>
      </w:r>
    </w:p>
    <w:p w14:paraId="7EB0535C" w14:textId="722C374A" w:rsidR="00A376DB" w:rsidRDefault="00A376DB" w:rsidP="002422C5">
      <w:pPr>
        <w:spacing w:line="216" w:lineRule="auto"/>
      </w:pPr>
      <w:r>
        <w:t xml:space="preserve">The Land Transport Authority </w:t>
      </w:r>
      <w:r w:rsidR="00204591">
        <w:t xml:space="preserve">(LTA) </w:t>
      </w:r>
      <w:r>
        <w:t xml:space="preserve">has asked your team to assess the validity of this statement and propose where the next tranche of cycling paths / cycling lanes </w:t>
      </w:r>
      <w:r w:rsidR="00387C4D">
        <w:t>should</w:t>
      </w:r>
      <w:r>
        <w:t xml:space="preserve"> be built, to improve </w:t>
      </w:r>
      <w:r>
        <w:lastRenderedPageBreak/>
        <w:t>connectivity for work commute.</w:t>
      </w:r>
      <w:r w:rsidR="00387C4D">
        <w:t xml:space="preserve"> </w:t>
      </w:r>
      <w:r>
        <w:t>For simplicity, you may assume that it is possible to add these to a</w:t>
      </w:r>
      <w:r w:rsidR="00A952DB">
        <w:t>ll roads other than expressways, and up to 100km may be added in one tranche.</w:t>
      </w:r>
    </w:p>
    <w:p w14:paraId="4D7AE9CE" w14:textId="77777777" w:rsidR="00A952DB" w:rsidRDefault="00A952DB" w:rsidP="00A952DB">
      <w:pPr>
        <w:spacing w:line="216" w:lineRule="auto"/>
        <w:jc w:val="center"/>
      </w:pPr>
      <w:r>
        <w:t>~</w:t>
      </w:r>
    </w:p>
    <w:p w14:paraId="7F686790" w14:textId="77777777" w:rsidR="00A952DB" w:rsidRPr="00A952DB" w:rsidRDefault="00A952DB" w:rsidP="002422C5">
      <w:pPr>
        <w:spacing w:line="216" w:lineRule="auto"/>
        <w:rPr>
          <w:b/>
          <w:u w:val="single"/>
        </w:rPr>
      </w:pPr>
      <w:r w:rsidRPr="00A952DB">
        <w:rPr>
          <w:b/>
          <w:u w:val="single"/>
        </w:rPr>
        <w:t>Scenario 3</w:t>
      </w:r>
    </w:p>
    <w:p w14:paraId="2BC2CBA1" w14:textId="66576C61" w:rsidR="00713008" w:rsidRDefault="00713008" w:rsidP="002422C5">
      <w:pPr>
        <w:spacing w:line="216" w:lineRule="auto"/>
      </w:pPr>
      <w:r w:rsidRPr="00713008">
        <w:t xml:space="preserve">In 2018, </w:t>
      </w:r>
      <w:r w:rsidR="00432999">
        <w:t>the Ministry of Culture, Community &amp; Youth (MCCY)</w:t>
      </w:r>
      <w:r w:rsidRPr="00713008">
        <w:t xml:space="preserve"> announced a target to double Singapore's volunteerism rate from 35% in 2016 to 70% by 2024. </w:t>
      </w:r>
      <w:r w:rsidRPr="00204591">
        <w:t xml:space="preserve">While this is considered reachable, </w:t>
      </w:r>
      <w:hyperlink r:id="rId11" w:history="1">
        <w:r w:rsidRPr="00204591">
          <w:rPr>
            <w:rStyle w:val="Hyperlink"/>
          </w:rPr>
          <w:t>especially with COVID-19 inspiring more people to step up to volunteer</w:t>
        </w:r>
      </w:hyperlink>
      <w:r w:rsidRPr="00713008">
        <w:t>, more can be done to encourage volunteerism in all forms.</w:t>
      </w:r>
    </w:p>
    <w:p w14:paraId="4EADB269" w14:textId="20AAC5C0" w:rsidR="00634B9C" w:rsidRDefault="00713008" w:rsidP="002422C5">
      <w:pPr>
        <w:spacing w:line="216" w:lineRule="auto"/>
      </w:pPr>
      <w:r>
        <w:t xml:space="preserve">The National Council of Social Services </w:t>
      </w:r>
      <w:r w:rsidR="00204591">
        <w:t xml:space="preserve">(NCSS) </w:t>
      </w:r>
      <w:r w:rsidR="00432999">
        <w:t xml:space="preserve">is designing a new series of volunteer outreach campaigns to target people of different age </w:t>
      </w:r>
      <w:r w:rsidR="00A67FD7">
        <w:t>groups and</w:t>
      </w:r>
      <w:r w:rsidR="00432999">
        <w:t xml:space="preserve"> </w:t>
      </w:r>
      <w:r>
        <w:t xml:space="preserve">has asked your team to advise on </w:t>
      </w:r>
      <w:r w:rsidR="00432999">
        <w:t>1) which age group(s) to prioritize;</w:t>
      </w:r>
      <w:r>
        <w:t xml:space="preserve"> and </w:t>
      </w:r>
      <w:r w:rsidR="00432999">
        <w:t xml:space="preserve">2) </w:t>
      </w:r>
      <w:r>
        <w:t xml:space="preserve">how to </w:t>
      </w:r>
      <w:r w:rsidR="00432999">
        <w:t xml:space="preserve">reach them effectively. The goal is to maximize long-term impact, and the available data is </w:t>
      </w:r>
      <w:r w:rsidR="00634B9C">
        <w:t xml:space="preserve">a recent </w:t>
      </w:r>
      <w:r w:rsidR="00A92B56">
        <w:t>survey on Singaporeans’ moral foundations</w:t>
      </w:r>
      <w:r w:rsidR="00634B9C">
        <w:t>.</w:t>
      </w:r>
    </w:p>
    <w:p w14:paraId="058983C0" w14:textId="652942AE" w:rsidR="00634B9C" w:rsidRDefault="00634B9C" w:rsidP="002422C5">
      <w:pPr>
        <w:spacing w:line="216" w:lineRule="auto"/>
      </w:pPr>
      <w:r>
        <w:t xml:space="preserve">NCSS is </w:t>
      </w:r>
      <w:r w:rsidR="00894ECF">
        <w:t xml:space="preserve">also </w:t>
      </w:r>
      <w:r>
        <w:t>open to consider running a</w:t>
      </w:r>
      <w:r w:rsidR="00265867">
        <w:t xml:space="preserve">n additional </w:t>
      </w:r>
      <w:r>
        <w:t xml:space="preserve">survey to </w:t>
      </w:r>
      <w:r w:rsidR="00265867">
        <w:t>collect</w:t>
      </w:r>
      <w:r>
        <w:t xml:space="preserve"> more first-hand data, based on your preliminary findings. </w:t>
      </w:r>
      <w:r w:rsidR="00265867">
        <w:t>In your recommendations, please</w:t>
      </w:r>
      <w:r>
        <w:t xml:space="preserve"> include a section on what to cover in the new survey</w:t>
      </w:r>
      <w:r w:rsidR="00432999">
        <w:t>, such as the specific profile(s) to target, possible questions to ask</w:t>
      </w:r>
      <w:r w:rsidR="00A67FD7">
        <w:t>, etc.</w:t>
      </w:r>
      <w:r w:rsidR="00432999">
        <w:rPr>
          <w:rStyle w:val="FootnoteReference"/>
        </w:rPr>
        <w:footnoteReference w:id="2"/>
      </w:r>
    </w:p>
    <w:p w14:paraId="6E1FE0E1" w14:textId="3B01AACC" w:rsidR="005A4B1E" w:rsidRDefault="00CB2958" w:rsidP="00BA17FA">
      <w:pPr>
        <w:spacing w:line="216" w:lineRule="auto"/>
        <w:jc w:val="center"/>
      </w:pPr>
      <w:r>
        <w:t>~</w:t>
      </w:r>
      <w:r w:rsidR="005A4B1E" w:rsidRPr="005A4B1E">
        <w:t xml:space="preserve"> </w:t>
      </w:r>
    </w:p>
    <w:p w14:paraId="61224FF3" w14:textId="77777777" w:rsidR="005A4B1E" w:rsidRDefault="005A4B1E"/>
    <w:p w14:paraId="7BA5E0DB" w14:textId="77777777" w:rsidR="005A4B1E" w:rsidRDefault="005A4B1E"/>
    <w:p w14:paraId="39B6B7BC" w14:textId="77777777" w:rsidR="005A4B1E" w:rsidRDefault="005A4B1E"/>
    <w:p w14:paraId="5EA0B865" w14:textId="77777777" w:rsidR="005A4B1E" w:rsidRDefault="005A4B1E"/>
    <w:p w14:paraId="7F2DC720" w14:textId="77777777" w:rsidR="00632D4F" w:rsidRDefault="00632D4F"/>
    <w:p w14:paraId="140A54CC" w14:textId="77777777" w:rsidR="00632D4F" w:rsidRDefault="00632D4F"/>
    <w:p w14:paraId="79B16544" w14:textId="77777777" w:rsidR="00632D4F" w:rsidRDefault="00632D4F"/>
    <w:p w14:paraId="3728AC79" w14:textId="77777777" w:rsidR="00632D4F" w:rsidRDefault="00632D4F"/>
    <w:p w14:paraId="62ECE322" w14:textId="77777777" w:rsidR="00CE3FFF" w:rsidRDefault="00CE3FFF"/>
    <w:p w14:paraId="7D43C22C" w14:textId="77777777" w:rsidR="00CE3FFF" w:rsidRDefault="00CE3FFF"/>
    <w:p w14:paraId="2C56CED3" w14:textId="77777777" w:rsidR="00CE3FFF" w:rsidRDefault="00CE3FFF"/>
    <w:p w14:paraId="1302DCCD" w14:textId="77777777" w:rsidR="00CE3FFF" w:rsidRDefault="00CE3FFF"/>
    <w:p w14:paraId="032BD4D7" w14:textId="77777777" w:rsidR="00CE3FFF" w:rsidRDefault="00CE3FFF"/>
    <w:p w14:paraId="02FEF164" w14:textId="77777777" w:rsidR="00CE3FFF" w:rsidRDefault="00CE3FFF"/>
    <w:p w14:paraId="122C807F" w14:textId="77777777" w:rsidR="00CE3FFF" w:rsidRDefault="00CE3FFF"/>
    <w:p w14:paraId="6C15C149" w14:textId="77777777" w:rsidR="00CE3FFF" w:rsidRDefault="00CE3FFF"/>
    <w:p w14:paraId="18DF1425" w14:textId="77777777" w:rsidR="00CE3FFF" w:rsidRDefault="00CE3FFF"/>
    <w:p w14:paraId="57DF305D" w14:textId="192CF014" w:rsidR="00415997" w:rsidRDefault="00415997" w:rsidP="00415997">
      <w:pPr>
        <w:rPr>
          <w:b/>
          <w:bCs/>
        </w:rPr>
      </w:pPr>
      <w:r w:rsidRPr="00415997">
        <w:rPr>
          <w:b/>
          <w:bCs/>
        </w:rPr>
        <w:lastRenderedPageBreak/>
        <w:t>Annex</w:t>
      </w:r>
    </w:p>
    <w:p w14:paraId="1743AC18" w14:textId="08EB6BBA" w:rsidR="0008270C" w:rsidRPr="0008270C" w:rsidRDefault="00E41AD5" w:rsidP="00415997">
      <w:r w:rsidRPr="00E41AD5">
        <w:t>Should any links not work, please visit data.gov.sg and search for the dataset directly.</w:t>
      </w:r>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8794"/>
      </w:tblGrid>
      <w:tr w:rsidR="00415997" w:rsidRPr="00415997" w14:paraId="2D33C076" w14:textId="77777777" w:rsidTr="00202294">
        <w:tc>
          <w:tcPr>
            <w:tcW w:w="9030" w:type="dxa"/>
            <w:gridSpan w:val="2"/>
          </w:tcPr>
          <w:p w14:paraId="4582278A" w14:textId="561F448B" w:rsidR="00415997" w:rsidRPr="00415997" w:rsidRDefault="00415997" w:rsidP="00202294">
            <w:pPr>
              <w:spacing w:before="60" w:after="60"/>
              <w:rPr>
                <w:sz w:val="20"/>
                <w:szCs w:val="20"/>
              </w:rPr>
            </w:pPr>
            <w:r w:rsidRPr="00415997">
              <w:rPr>
                <w:b/>
                <w:sz w:val="20"/>
                <w:szCs w:val="20"/>
              </w:rPr>
              <w:t>Suggested data sources for Section 1</w:t>
            </w:r>
          </w:p>
        </w:tc>
      </w:tr>
      <w:tr w:rsidR="00415997" w:rsidRPr="00415997" w14:paraId="1CE5A6F7" w14:textId="77777777" w:rsidTr="00202294">
        <w:tc>
          <w:tcPr>
            <w:tcW w:w="236" w:type="dxa"/>
          </w:tcPr>
          <w:p w14:paraId="356B34DA" w14:textId="77777777" w:rsidR="00415997" w:rsidRPr="00415997" w:rsidRDefault="00415997" w:rsidP="00202294">
            <w:pPr>
              <w:spacing w:before="60" w:after="60"/>
              <w:rPr>
                <w:sz w:val="20"/>
                <w:szCs w:val="20"/>
              </w:rPr>
            </w:pPr>
          </w:p>
        </w:tc>
        <w:tc>
          <w:tcPr>
            <w:tcW w:w="8794" w:type="dxa"/>
          </w:tcPr>
          <w:p w14:paraId="6CD75BB2" w14:textId="77777777" w:rsidR="00415997" w:rsidRPr="002D35D0" w:rsidRDefault="00415997" w:rsidP="00202294">
            <w:pPr>
              <w:spacing w:before="60" w:after="60"/>
              <w:rPr>
                <w:sz w:val="20"/>
                <w:szCs w:val="20"/>
              </w:rPr>
            </w:pPr>
            <w:hyperlink r:id="rId12" w:history="1">
              <w:r w:rsidRPr="002D35D0">
                <w:rPr>
                  <w:rStyle w:val="Hyperlink"/>
                  <w:sz w:val="20"/>
                  <w:szCs w:val="20"/>
                </w:rPr>
                <w:t>CEA Salespersons’ Property Transaction Reco</w:t>
              </w:r>
              <w:r w:rsidRPr="002D35D0">
                <w:rPr>
                  <w:rStyle w:val="Hyperlink"/>
                  <w:sz w:val="20"/>
                  <w:szCs w:val="20"/>
                </w:rPr>
                <w:t>r</w:t>
              </w:r>
              <w:r w:rsidRPr="002D35D0">
                <w:rPr>
                  <w:rStyle w:val="Hyperlink"/>
                  <w:sz w:val="20"/>
                  <w:szCs w:val="20"/>
                </w:rPr>
                <w:t>ds (residential)</w:t>
              </w:r>
            </w:hyperlink>
          </w:p>
        </w:tc>
      </w:tr>
      <w:tr w:rsidR="00415997" w:rsidRPr="00415997" w14:paraId="093DEE5E" w14:textId="77777777" w:rsidTr="00202294">
        <w:tc>
          <w:tcPr>
            <w:tcW w:w="236" w:type="dxa"/>
          </w:tcPr>
          <w:p w14:paraId="31430967" w14:textId="77777777" w:rsidR="00415997" w:rsidRPr="00415997" w:rsidRDefault="00415997" w:rsidP="00202294">
            <w:pPr>
              <w:spacing w:before="60" w:after="60"/>
              <w:rPr>
                <w:sz w:val="20"/>
                <w:szCs w:val="20"/>
              </w:rPr>
            </w:pPr>
          </w:p>
        </w:tc>
        <w:tc>
          <w:tcPr>
            <w:tcW w:w="8794" w:type="dxa"/>
          </w:tcPr>
          <w:p w14:paraId="73CC8CAE" w14:textId="77777777" w:rsidR="00415997" w:rsidRPr="002D35D0" w:rsidRDefault="00415997" w:rsidP="00202294">
            <w:pPr>
              <w:spacing w:before="60" w:after="60"/>
              <w:rPr>
                <w:sz w:val="20"/>
                <w:szCs w:val="20"/>
              </w:rPr>
            </w:pPr>
            <w:hyperlink r:id="rId13" w:history="1">
              <w:r w:rsidRPr="002D35D0">
                <w:rPr>
                  <w:rStyle w:val="Hyperlink"/>
                  <w:sz w:val="20"/>
                  <w:szCs w:val="20"/>
                </w:rPr>
                <w:t>Resale Flat P</w:t>
              </w:r>
              <w:r w:rsidRPr="002D35D0">
                <w:rPr>
                  <w:rStyle w:val="Hyperlink"/>
                  <w:sz w:val="20"/>
                  <w:szCs w:val="20"/>
                </w:rPr>
                <w:t>r</w:t>
              </w:r>
              <w:r w:rsidRPr="002D35D0">
                <w:rPr>
                  <w:rStyle w:val="Hyperlink"/>
                  <w:sz w:val="20"/>
                  <w:szCs w:val="20"/>
                </w:rPr>
                <w:t>ices</w:t>
              </w:r>
            </w:hyperlink>
          </w:p>
        </w:tc>
      </w:tr>
      <w:tr w:rsidR="00D46F5A" w:rsidRPr="00415997" w14:paraId="453DC5D5" w14:textId="77777777" w:rsidTr="00895114">
        <w:tc>
          <w:tcPr>
            <w:tcW w:w="236" w:type="dxa"/>
          </w:tcPr>
          <w:p w14:paraId="6FD83061" w14:textId="77777777" w:rsidR="00D46F5A" w:rsidRPr="00415997" w:rsidRDefault="00D46F5A" w:rsidP="00895114">
            <w:pPr>
              <w:spacing w:before="60" w:after="60"/>
              <w:rPr>
                <w:sz w:val="20"/>
                <w:szCs w:val="20"/>
              </w:rPr>
            </w:pPr>
          </w:p>
        </w:tc>
        <w:tc>
          <w:tcPr>
            <w:tcW w:w="8794" w:type="dxa"/>
          </w:tcPr>
          <w:p w14:paraId="53C4F026" w14:textId="67DCD23B" w:rsidR="00D46F5A" w:rsidRDefault="00775D41" w:rsidP="00895114">
            <w:pPr>
              <w:spacing w:before="60" w:after="60"/>
            </w:pPr>
            <w:hyperlink r:id="rId14" w:history="1">
              <w:r w:rsidRPr="00775D41">
                <w:rPr>
                  <w:rStyle w:val="Hyperlink"/>
                </w:rPr>
                <w:t>COE Q</w:t>
              </w:r>
              <w:r w:rsidRPr="00775D41">
                <w:rPr>
                  <w:rStyle w:val="Hyperlink"/>
                </w:rPr>
                <w:t>u</w:t>
              </w:r>
              <w:r w:rsidRPr="00775D41">
                <w:rPr>
                  <w:rStyle w:val="Hyperlink"/>
                </w:rPr>
                <w:t>ot</w:t>
              </w:r>
              <w:r w:rsidRPr="00775D41">
                <w:rPr>
                  <w:rStyle w:val="Hyperlink"/>
                </w:rPr>
                <w:t>a</w:t>
              </w:r>
            </w:hyperlink>
          </w:p>
        </w:tc>
      </w:tr>
      <w:tr w:rsidR="00D46F5A" w:rsidRPr="00415997" w14:paraId="45A8402A" w14:textId="77777777" w:rsidTr="00895114">
        <w:tc>
          <w:tcPr>
            <w:tcW w:w="236" w:type="dxa"/>
          </w:tcPr>
          <w:p w14:paraId="014E56AF" w14:textId="77777777" w:rsidR="00D46F5A" w:rsidRDefault="00D46F5A" w:rsidP="00895114">
            <w:pPr>
              <w:spacing w:before="60" w:after="60"/>
              <w:rPr>
                <w:sz w:val="20"/>
                <w:szCs w:val="20"/>
              </w:rPr>
            </w:pPr>
          </w:p>
        </w:tc>
        <w:tc>
          <w:tcPr>
            <w:tcW w:w="8794" w:type="dxa"/>
          </w:tcPr>
          <w:p w14:paraId="35602CED" w14:textId="5B3F05D6" w:rsidR="00D46F5A" w:rsidRPr="00D46F5A" w:rsidRDefault="00775D41" w:rsidP="00895114">
            <w:pPr>
              <w:spacing w:before="60" w:after="60"/>
            </w:pPr>
            <w:hyperlink r:id="rId15" w:history="1">
              <w:r w:rsidRPr="00775D41">
                <w:rPr>
                  <w:rStyle w:val="Hyperlink"/>
                </w:rPr>
                <w:t>COE</w:t>
              </w:r>
              <w:r w:rsidRPr="00775D41">
                <w:rPr>
                  <w:rStyle w:val="Hyperlink"/>
                </w:rPr>
                <w:t xml:space="preserve"> </w:t>
              </w:r>
              <w:r w:rsidRPr="00775D41">
                <w:rPr>
                  <w:rStyle w:val="Hyperlink"/>
                </w:rPr>
                <w:t>P</w:t>
              </w:r>
              <w:r w:rsidRPr="00775D41">
                <w:rPr>
                  <w:rStyle w:val="Hyperlink"/>
                </w:rPr>
                <w:t>rice</w:t>
              </w:r>
            </w:hyperlink>
          </w:p>
        </w:tc>
      </w:tr>
    </w:tbl>
    <w:p w14:paraId="7DA071B2" w14:textId="2FED876D" w:rsidR="00D46F5A" w:rsidRDefault="00D46F5A" w:rsidP="00415997">
      <w:r>
        <w:t xml:space="preserve"> </w:t>
      </w:r>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8794"/>
      </w:tblGrid>
      <w:tr w:rsidR="00415997" w:rsidRPr="00415997" w14:paraId="1101202B" w14:textId="77777777" w:rsidTr="00202294">
        <w:tc>
          <w:tcPr>
            <w:tcW w:w="9030" w:type="dxa"/>
            <w:gridSpan w:val="2"/>
          </w:tcPr>
          <w:p w14:paraId="607F5C34" w14:textId="20FFF544" w:rsidR="00415997" w:rsidRPr="00415997" w:rsidRDefault="00415997" w:rsidP="00202294">
            <w:pPr>
              <w:spacing w:before="60" w:after="60"/>
              <w:rPr>
                <w:sz w:val="20"/>
                <w:szCs w:val="20"/>
              </w:rPr>
            </w:pPr>
            <w:r w:rsidRPr="00415997">
              <w:rPr>
                <w:b/>
                <w:sz w:val="20"/>
                <w:szCs w:val="20"/>
              </w:rPr>
              <w:t>Suggested data sources for Section 2</w:t>
            </w:r>
          </w:p>
        </w:tc>
      </w:tr>
      <w:tr w:rsidR="00415997" w:rsidRPr="00415997" w14:paraId="35CE3119" w14:textId="77777777" w:rsidTr="00202294">
        <w:tc>
          <w:tcPr>
            <w:tcW w:w="236" w:type="dxa"/>
          </w:tcPr>
          <w:p w14:paraId="733BCCF6" w14:textId="77777777" w:rsidR="00415997" w:rsidRPr="00415997" w:rsidRDefault="00415997" w:rsidP="00202294">
            <w:pPr>
              <w:spacing w:before="60" w:after="60"/>
              <w:rPr>
                <w:sz w:val="20"/>
                <w:szCs w:val="20"/>
              </w:rPr>
            </w:pPr>
          </w:p>
        </w:tc>
        <w:tc>
          <w:tcPr>
            <w:tcW w:w="8794" w:type="dxa"/>
          </w:tcPr>
          <w:p w14:paraId="5832F42C" w14:textId="77777777" w:rsidR="00415997" w:rsidRPr="00415997" w:rsidRDefault="00415997" w:rsidP="00202294">
            <w:pPr>
              <w:spacing w:before="60" w:after="60"/>
              <w:rPr>
                <w:sz w:val="20"/>
                <w:szCs w:val="20"/>
              </w:rPr>
            </w:pPr>
            <w:hyperlink r:id="rId16" w:history="1">
              <w:r w:rsidRPr="00415997">
                <w:rPr>
                  <w:rStyle w:val="Hyperlink"/>
                  <w:sz w:val="20"/>
                  <w:szCs w:val="20"/>
                </w:rPr>
                <w:t>Singapore Residents by Planning Area / Subzone, Single Year of Age and Sex, June 2000-2020</w:t>
              </w:r>
            </w:hyperlink>
          </w:p>
        </w:tc>
      </w:tr>
      <w:tr w:rsidR="00CE7FD2" w:rsidRPr="00415997" w14:paraId="26652247" w14:textId="77777777" w:rsidTr="00202294">
        <w:tc>
          <w:tcPr>
            <w:tcW w:w="236" w:type="dxa"/>
          </w:tcPr>
          <w:p w14:paraId="1F968DFD" w14:textId="77777777" w:rsidR="00CE7FD2" w:rsidRPr="00415997" w:rsidRDefault="00CE7FD2" w:rsidP="00202294">
            <w:pPr>
              <w:spacing w:before="60" w:after="60"/>
              <w:rPr>
                <w:sz w:val="20"/>
                <w:szCs w:val="20"/>
              </w:rPr>
            </w:pPr>
          </w:p>
        </w:tc>
        <w:tc>
          <w:tcPr>
            <w:tcW w:w="8794" w:type="dxa"/>
          </w:tcPr>
          <w:p w14:paraId="6DD1D855" w14:textId="690100C9" w:rsidR="00CE7FD2" w:rsidRDefault="00CE7FD2" w:rsidP="00202294">
            <w:pPr>
              <w:spacing w:before="60" w:after="60"/>
            </w:pPr>
            <w:hyperlink r:id="rId17" w:history="1">
              <w:r w:rsidRPr="00CE7FD2">
                <w:rPr>
                  <w:rStyle w:val="Hyperlink"/>
                  <w:sz w:val="20"/>
                </w:rPr>
                <w:t>Births and Fertility, A</w:t>
              </w:r>
              <w:r w:rsidRPr="00CE7FD2">
                <w:rPr>
                  <w:rStyle w:val="Hyperlink"/>
                  <w:sz w:val="20"/>
                </w:rPr>
                <w:t>n</w:t>
              </w:r>
              <w:r w:rsidRPr="00CE7FD2">
                <w:rPr>
                  <w:rStyle w:val="Hyperlink"/>
                  <w:sz w:val="20"/>
                </w:rPr>
                <w:t>nual</w:t>
              </w:r>
            </w:hyperlink>
          </w:p>
        </w:tc>
      </w:tr>
      <w:tr w:rsidR="00C736B6" w:rsidRPr="00415997" w14:paraId="05CCE811" w14:textId="77777777" w:rsidTr="00202294">
        <w:tc>
          <w:tcPr>
            <w:tcW w:w="236" w:type="dxa"/>
          </w:tcPr>
          <w:p w14:paraId="0FFD8DBD" w14:textId="77777777" w:rsidR="00C736B6" w:rsidRPr="00415997" w:rsidRDefault="00C736B6" w:rsidP="00202294">
            <w:pPr>
              <w:spacing w:before="60" w:after="60"/>
              <w:rPr>
                <w:sz w:val="20"/>
                <w:szCs w:val="20"/>
              </w:rPr>
            </w:pPr>
          </w:p>
        </w:tc>
        <w:tc>
          <w:tcPr>
            <w:tcW w:w="8794" w:type="dxa"/>
          </w:tcPr>
          <w:p w14:paraId="0D33583E" w14:textId="1AF63CCB" w:rsidR="00C736B6" w:rsidRDefault="00C736B6" w:rsidP="00202294">
            <w:pPr>
              <w:spacing w:before="60" w:after="60"/>
            </w:pPr>
            <w:hyperlink r:id="rId18" w:history="1">
              <w:r w:rsidRPr="00C736B6">
                <w:rPr>
                  <w:rStyle w:val="Hyperlink"/>
                  <w:sz w:val="20"/>
                </w:rPr>
                <w:t>Listing o</w:t>
              </w:r>
              <w:r w:rsidRPr="00C736B6">
                <w:rPr>
                  <w:rStyle w:val="Hyperlink"/>
                  <w:sz w:val="20"/>
                </w:rPr>
                <w:t>f</w:t>
              </w:r>
              <w:r w:rsidRPr="00C736B6">
                <w:rPr>
                  <w:rStyle w:val="Hyperlink"/>
                  <w:sz w:val="20"/>
                </w:rPr>
                <w:t xml:space="preserve"> Centres</w:t>
              </w:r>
            </w:hyperlink>
          </w:p>
        </w:tc>
      </w:tr>
      <w:tr w:rsidR="00996D3C" w:rsidRPr="00415997" w14:paraId="616E2548" w14:textId="77777777" w:rsidTr="00202294">
        <w:tc>
          <w:tcPr>
            <w:tcW w:w="236" w:type="dxa"/>
          </w:tcPr>
          <w:p w14:paraId="33FCAD05" w14:textId="77777777" w:rsidR="00996D3C" w:rsidRPr="00415997" w:rsidRDefault="00996D3C" w:rsidP="00202294">
            <w:pPr>
              <w:spacing w:before="60" w:after="60"/>
              <w:rPr>
                <w:sz w:val="20"/>
                <w:szCs w:val="20"/>
              </w:rPr>
            </w:pPr>
          </w:p>
        </w:tc>
        <w:tc>
          <w:tcPr>
            <w:tcW w:w="8794" w:type="dxa"/>
          </w:tcPr>
          <w:p w14:paraId="7F866218" w14:textId="7993B3FF" w:rsidR="00996D3C" w:rsidRPr="00C736B6" w:rsidRDefault="00996D3C" w:rsidP="00202294">
            <w:pPr>
              <w:spacing w:before="60" w:after="60"/>
              <w:rPr>
                <w:sz w:val="20"/>
              </w:rPr>
            </w:pPr>
            <w:hyperlink r:id="rId19" w:history="1">
              <w:r w:rsidRPr="00996D3C">
                <w:rPr>
                  <w:rStyle w:val="Hyperlink"/>
                  <w:sz w:val="20"/>
                </w:rPr>
                <w:t>Listing of BTO projects with subzone information</w:t>
              </w:r>
            </w:hyperlink>
          </w:p>
        </w:tc>
      </w:tr>
      <w:tr w:rsidR="00415997" w:rsidRPr="00415997" w14:paraId="75AB8A86" w14:textId="77777777" w:rsidTr="00202294">
        <w:tc>
          <w:tcPr>
            <w:tcW w:w="236" w:type="dxa"/>
          </w:tcPr>
          <w:p w14:paraId="423E6240" w14:textId="77777777" w:rsidR="00415997" w:rsidRPr="00415997" w:rsidRDefault="00415997" w:rsidP="00202294">
            <w:pPr>
              <w:spacing w:before="60" w:after="60"/>
              <w:rPr>
                <w:sz w:val="20"/>
                <w:szCs w:val="20"/>
              </w:rPr>
            </w:pPr>
          </w:p>
        </w:tc>
        <w:tc>
          <w:tcPr>
            <w:tcW w:w="8794" w:type="dxa"/>
          </w:tcPr>
          <w:p w14:paraId="6E4C06BE" w14:textId="77777777" w:rsidR="00415997" w:rsidRPr="00415997" w:rsidRDefault="00415997" w:rsidP="00202294">
            <w:pPr>
              <w:spacing w:before="60" w:after="60"/>
              <w:rPr>
                <w:sz w:val="20"/>
                <w:szCs w:val="20"/>
              </w:rPr>
            </w:pPr>
            <w:hyperlink r:id="rId20" w:history="1">
              <w:r w:rsidRPr="00415997">
                <w:rPr>
                  <w:rStyle w:val="Hyperlink"/>
                  <w:sz w:val="20"/>
                  <w:szCs w:val="20"/>
                </w:rPr>
                <w:t>Master Plan 2019 Subzone Boundary (No Sea)</w:t>
              </w:r>
            </w:hyperlink>
          </w:p>
        </w:tc>
      </w:tr>
      <w:tr w:rsidR="00415997" w:rsidRPr="00415997" w14:paraId="5AD1B1F1" w14:textId="77777777" w:rsidTr="00202294">
        <w:tc>
          <w:tcPr>
            <w:tcW w:w="236" w:type="dxa"/>
          </w:tcPr>
          <w:p w14:paraId="50EE3F46" w14:textId="77777777" w:rsidR="00415997" w:rsidRPr="00415997" w:rsidRDefault="00415997" w:rsidP="00202294">
            <w:pPr>
              <w:spacing w:before="60" w:after="60"/>
              <w:rPr>
                <w:sz w:val="20"/>
                <w:szCs w:val="20"/>
              </w:rPr>
            </w:pPr>
          </w:p>
        </w:tc>
        <w:tc>
          <w:tcPr>
            <w:tcW w:w="8794" w:type="dxa"/>
          </w:tcPr>
          <w:p w14:paraId="5EFE3F5D" w14:textId="77777777" w:rsidR="00415997" w:rsidRPr="00415997" w:rsidRDefault="00415997" w:rsidP="00202294">
            <w:pPr>
              <w:spacing w:before="60" w:after="60"/>
              <w:rPr>
                <w:sz w:val="20"/>
                <w:szCs w:val="20"/>
              </w:rPr>
            </w:pPr>
            <w:hyperlink r:id="rId21" w:history="1">
              <w:r w:rsidRPr="00415997">
                <w:rPr>
                  <w:rStyle w:val="Hyperlink"/>
                  <w:sz w:val="20"/>
                  <w:szCs w:val="20"/>
                </w:rPr>
                <w:t>Master Plan 2019 SDCP Park Connector Line Layer</w:t>
              </w:r>
            </w:hyperlink>
          </w:p>
        </w:tc>
      </w:tr>
      <w:tr w:rsidR="00415997" w:rsidRPr="00415997" w14:paraId="1D2CD920" w14:textId="77777777" w:rsidTr="00202294">
        <w:tc>
          <w:tcPr>
            <w:tcW w:w="236" w:type="dxa"/>
          </w:tcPr>
          <w:p w14:paraId="39A45E9E" w14:textId="77777777" w:rsidR="00415997" w:rsidRPr="00415997" w:rsidRDefault="00415997" w:rsidP="00202294">
            <w:pPr>
              <w:spacing w:before="60" w:after="60"/>
              <w:rPr>
                <w:sz w:val="20"/>
                <w:szCs w:val="20"/>
              </w:rPr>
            </w:pPr>
          </w:p>
        </w:tc>
        <w:tc>
          <w:tcPr>
            <w:tcW w:w="8794" w:type="dxa"/>
          </w:tcPr>
          <w:p w14:paraId="71CE94BC" w14:textId="77777777" w:rsidR="00415997" w:rsidRPr="00415997" w:rsidRDefault="00415997" w:rsidP="00202294">
            <w:pPr>
              <w:spacing w:before="60" w:after="60"/>
              <w:rPr>
                <w:sz w:val="20"/>
                <w:szCs w:val="20"/>
              </w:rPr>
            </w:pPr>
            <w:hyperlink r:id="rId22" w:history="1">
              <w:r w:rsidRPr="00415997">
                <w:rPr>
                  <w:rStyle w:val="Hyperlink"/>
                  <w:sz w:val="20"/>
                  <w:szCs w:val="20"/>
                </w:rPr>
                <w:t>Master Plan 2019 SDCP Cycling Path Layer</w:t>
              </w:r>
            </w:hyperlink>
          </w:p>
        </w:tc>
      </w:tr>
      <w:tr w:rsidR="00415997" w:rsidRPr="00415997" w14:paraId="26B698BB" w14:textId="77777777" w:rsidTr="00202294">
        <w:tc>
          <w:tcPr>
            <w:tcW w:w="236" w:type="dxa"/>
          </w:tcPr>
          <w:p w14:paraId="5C925898" w14:textId="77777777" w:rsidR="00415997" w:rsidRPr="00415997" w:rsidRDefault="00415997" w:rsidP="00202294">
            <w:pPr>
              <w:spacing w:before="60" w:after="60"/>
              <w:rPr>
                <w:sz w:val="20"/>
                <w:szCs w:val="20"/>
              </w:rPr>
            </w:pPr>
          </w:p>
        </w:tc>
        <w:tc>
          <w:tcPr>
            <w:tcW w:w="8794" w:type="dxa"/>
          </w:tcPr>
          <w:p w14:paraId="755DB35B" w14:textId="77777777" w:rsidR="00415997" w:rsidRPr="00415997" w:rsidRDefault="00415997" w:rsidP="00202294">
            <w:pPr>
              <w:spacing w:before="60" w:after="60"/>
              <w:rPr>
                <w:sz w:val="20"/>
                <w:szCs w:val="20"/>
              </w:rPr>
            </w:pPr>
            <w:hyperlink r:id="rId23" w:history="1">
              <w:r w:rsidRPr="00415997">
                <w:rPr>
                  <w:rStyle w:val="Hyperlink"/>
                  <w:sz w:val="20"/>
                  <w:szCs w:val="20"/>
                </w:rPr>
                <w:t>Master Plan 2019 Road layer</w:t>
              </w:r>
            </w:hyperlink>
          </w:p>
        </w:tc>
      </w:tr>
      <w:tr w:rsidR="00415997" w:rsidRPr="00415997" w14:paraId="3081015A" w14:textId="77777777" w:rsidTr="00202294">
        <w:tc>
          <w:tcPr>
            <w:tcW w:w="236" w:type="dxa"/>
          </w:tcPr>
          <w:p w14:paraId="460DFC59" w14:textId="77777777" w:rsidR="00415997" w:rsidRPr="00415997" w:rsidRDefault="00415997" w:rsidP="00202294">
            <w:pPr>
              <w:spacing w:before="60" w:after="60"/>
              <w:rPr>
                <w:sz w:val="20"/>
                <w:szCs w:val="20"/>
              </w:rPr>
            </w:pPr>
          </w:p>
        </w:tc>
        <w:tc>
          <w:tcPr>
            <w:tcW w:w="8794" w:type="dxa"/>
          </w:tcPr>
          <w:p w14:paraId="2196C7F0" w14:textId="77777777" w:rsidR="00415997" w:rsidRPr="00415997" w:rsidRDefault="00415997" w:rsidP="00202294">
            <w:pPr>
              <w:spacing w:before="60" w:after="60"/>
              <w:rPr>
                <w:sz w:val="20"/>
                <w:szCs w:val="20"/>
              </w:rPr>
            </w:pPr>
            <w:hyperlink r:id="rId24" w:history="1">
              <w:r w:rsidRPr="00415997">
                <w:rPr>
                  <w:rStyle w:val="Hyperlink"/>
                  <w:sz w:val="20"/>
                  <w:szCs w:val="20"/>
                </w:rPr>
                <w:t>Data on Moral Foundations Theory</w:t>
              </w:r>
            </w:hyperlink>
          </w:p>
        </w:tc>
      </w:tr>
      <w:tr w:rsidR="00E573AA" w:rsidRPr="00415997" w14:paraId="17EF24FF" w14:textId="77777777" w:rsidTr="00636F16">
        <w:tc>
          <w:tcPr>
            <w:tcW w:w="236" w:type="dxa"/>
          </w:tcPr>
          <w:p w14:paraId="4058F0C9" w14:textId="77777777" w:rsidR="00E573AA" w:rsidRPr="00415997" w:rsidRDefault="00E573AA" w:rsidP="00636F16">
            <w:pPr>
              <w:spacing w:before="60" w:after="60"/>
              <w:rPr>
                <w:sz w:val="20"/>
                <w:szCs w:val="20"/>
              </w:rPr>
            </w:pPr>
          </w:p>
        </w:tc>
        <w:tc>
          <w:tcPr>
            <w:tcW w:w="8794" w:type="dxa"/>
          </w:tcPr>
          <w:p w14:paraId="2F1A1D9F" w14:textId="77777777" w:rsidR="00E573AA" w:rsidRPr="00415997" w:rsidRDefault="00E573AA" w:rsidP="00636F16">
            <w:pPr>
              <w:spacing w:before="60" w:after="60"/>
              <w:rPr>
                <w:sz w:val="20"/>
                <w:szCs w:val="20"/>
              </w:rPr>
            </w:pPr>
            <w:hyperlink r:id="rId25" w:history="1">
              <w:r w:rsidRPr="00415997">
                <w:rPr>
                  <w:rStyle w:val="Hyperlink"/>
                  <w:sz w:val="20"/>
                  <w:szCs w:val="20"/>
                </w:rPr>
                <w:t>Registered Cases at the Community Mediation Centre</w:t>
              </w:r>
            </w:hyperlink>
          </w:p>
        </w:tc>
      </w:tr>
      <w:tr w:rsidR="00E573AA" w:rsidRPr="00415997" w14:paraId="6261FCF5" w14:textId="77777777" w:rsidTr="00636F16">
        <w:tc>
          <w:tcPr>
            <w:tcW w:w="236" w:type="dxa"/>
          </w:tcPr>
          <w:p w14:paraId="4C6B0202" w14:textId="77777777" w:rsidR="00E573AA" w:rsidRPr="00415997" w:rsidRDefault="00E573AA" w:rsidP="00636F16">
            <w:pPr>
              <w:spacing w:before="60" w:after="60"/>
              <w:rPr>
                <w:sz w:val="20"/>
                <w:szCs w:val="20"/>
              </w:rPr>
            </w:pPr>
          </w:p>
        </w:tc>
        <w:tc>
          <w:tcPr>
            <w:tcW w:w="8794" w:type="dxa"/>
          </w:tcPr>
          <w:p w14:paraId="4038E97B" w14:textId="77777777" w:rsidR="00E573AA" w:rsidRPr="00415997" w:rsidRDefault="00E573AA" w:rsidP="00636F16">
            <w:pPr>
              <w:spacing w:before="60" w:after="60"/>
              <w:rPr>
                <w:sz w:val="20"/>
                <w:szCs w:val="20"/>
              </w:rPr>
            </w:pPr>
            <w:hyperlink r:id="rId26" w:history="1">
              <w:r w:rsidRPr="00415997">
                <w:rPr>
                  <w:rStyle w:val="Hyperlink"/>
                  <w:sz w:val="20"/>
                  <w:szCs w:val="20"/>
                </w:rPr>
                <w:t>Sources of Cases Registered at the Community Mediation Centre</w:t>
              </w:r>
            </w:hyperlink>
          </w:p>
        </w:tc>
      </w:tr>
      <w:tr w:rsidR="00E573AA" w:rsidRPr="00415997" w14:paraId="788218FC" w14:textId="77777777" w:rsidTr="00636F16">
        <w:tc>
          <w:tcPr>
            <w:tcW w:w="236" w:type="dxa"/>
          </w:tcPr>
          <w:p w14:paraId="643224B5" w14:textId="77777777" w:rsidR="00E573AA" w:rsidRPr="00415997" w:rsidRDefault="00E573AA" w:rsidP="00636F16">
            <w:pPr>
              <w:spacing w:before="60" w:after="60"/>
              <w:rPr>
                <w:sz w:val="20"/>
                <w:szCs w:val="20"/>
              </w:rPr>
            </w:pPr>
          </w:p>
        </w:tc>
        <w:tc>
          <w:tcPr>
            <w:tcW w:w="8794" w:type="dxa"/>
          </w:tcPr>
          <w:p w14:paraId="72B72E8F" w14:textId="77777777" w:rsidR="00E573AA" w:rsidRPr="00415997" w:rsidRDefault="00E573AA" w:rsidP="00636F16">
            <w:pPr>
              <w:spacing w:before="60" w:after="60"/>
              <w:rPr>
                <w:sz w:val="20"/>
                <w:szCs w:val="20"/>
              </w:rPr>
            </w:pPr>
            <w:hyperlink r:id="rId27" w:history="1">
              <w:r w:rsidRPr="00415997">
                <w:rPr>
                  <w:rStyle w:val="Hyperlink"/>
                  <w:sz w:val="20"/>
                  <w:szCs w:val="20"/>
                </w:rPr>
                <w:t>Relationship of Parties in Cases Registered at the Community Mediation Centre</w:t>
              </w:r>
            </w:hyperlink>
          </w:p>
        </w:tc>
      </w:tr>
      <w:tr w:rsidR="00E573AA" w:rsidRPr="00415997" w14:paraId="6E406DCD" w14:textId="77777777" w:rsidTr="00636F16">
        <w:tc>
          <w:tcPr>
            <w:tcW w:w="236" w:type="dxa"/>
          </w:tcPr>
          <w:p w14:paraId="32057143" w14:textId="77777777" w:rsidR="00E573AA" w:rsidRPr="00415997" w:rsidRDefault="00E573AA" w:rsidP="00636F16">
            <w:pPr>
              <w:spacing w:before="60" w:after="60"/>
              <w:rPr>
                <w:sz w:val="20"/>
                <w:szCs w:val="20"/>
              </w:rPr>
            </w:pPr>
          </w:p>
        </w:tc>
        <w:tc>
          <w:tcPr>
            <w:tcW w:w="8794" w:type="dxa"/>
          </w:tcPr>
          <w:p w14:paraId="15D6D89B" w14:textId="77777777" w:rsidR="00E573AA" w:rsidRPr="00415997" w:rsidRDefault="00E573AA" w:rsidP="00636F16">
            <w:pPr>
              <w:spacing w:before="60" w:after="60"/>
              <w:rPr>
                <w:sz w:val="20"/>
                <w:szCs w:val="20"/>
              </w:rPr>
            </w:pPr>
            <w:hyperlink r:id="rId28" w:history="1">
              <w:r w:rsidRPr="00415997">
                <w:rPr>
                  <w:rStyle w:val="Hyperlink"/>
                  <w:sz w:val="20"/>
                  <w:szCs w:val="20"/>
                </w:rPr>
                <w:t>Outcomes of Cases Registered at the Community Mediation Centre</w:t>
              </w:r>
            </w:hyperlink>
          </w:p>
        </w:tc>
      </w:tr>
    </w:tbl>
    <w:p w14:paraId="5079820F" w14:textId="77777777" w:rsidR="00415997" w:rsidRPr="00415997" w:rsidRDefault="00415997" w:rsidP="00415997"/>
    <w:sectPr w:rsidR="00415997" w:rsidRPr="004159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BF04D" w14:textId="77777777" w:rsidR="001408E1" w:rsidRDefault="001408E1" w:rsidP="00C35538">
      <w:pPr>
        <w:spacing w:after="0" w:line="240" w:lineRule="auto"/>
      </w:pPr>
      <w:r>
        <w:separator/>
      </w:r>
    </w:p>
  </w:endnote>
  <w:endnote w:type="continuationSeparator" w:id="0">
    <w:p w14:paraId="615079E7" w14:textId="77777777" w:rsidR="001408E1" w:rsidRDefault="001408E1" w:rsidP="00C3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12B01" w14:textId="77777777" w:rsidR="001408E1" w:rsidRDefault="001408E1" w:rsidP="00C35538">
      <w:pPr>
        <w:spacing w:after="0" w:line="240" w:lineRule="auto"/>
      </w:pPr>
      <w:r>
        <w:separator/>
      </w:r>
    </w:p>
  </w:footnote>
  <w:footnote w:type="continuationSeparator" w:id="0">
    <w:p w14:paraId="2E7CCE70" w14:textId="77777777" w:rsidR="001408E1" w:rsidRDefault="001408E1" w:rsidP="00C35538">
      <w:pPr>
        <w:spacing w:after="0" w:line="240" w:lineRule="auto"/>
      </w:pPr>
      <w:r>
        <w:continuationSeparator/>
      </w:r>
    </w:p>
  </w:footnote>
  <w:footnote w:id="1">
    <w:p w14:paraId="123579F1" w14:textId="77777777" w:rsidR="00387C4D" w:rsidRDefault="00387C4D">
      <w:pPr>
        <w:pStyle w:val="FootnoteText"/>
      </w:pPr>
      <w:r>
        <w:rPr>
          <w:rStyle w:val="FootnoteReference"/>
        </w:rPr>
        <w:footnoteRef/>
      </w:r>
      <w:r>
        <w:t xml:space="preserve"> In this context, cycling routes include both park connectors and cycling paths.</w:t>
      </w:r>
    </w:p>
  </w:footnote>
  <w:footnote w:id="2">
    <w:p w14:paraId="6701DD1D" w14:textId="432091ED" w:rsidR="00432999" w:rsidRPr="00432999" w:rsidRDefault="00432999">
      <w:pPr>
        <w:pStyle w:val="FootnoteText"/>
        <w:rPr>
          <w:lang w:val="en-US"/>
        </w:rPr>
      </w:pPr>
      <w:r>
        <w:rPr>
          <w:rStyle w:val="FootnoteReference"/>
        </w:rPr>
        <w:footnoteRef/>
      </w:r>
      <w:r>
        <w:t xml:space="preserve"> </w:t>
      </w:r>
      <w:r>
        <w:rPr>
          <w:lang w:val="en-US"/>
        </w:rPr>
        <w:t xml:space="preserve">You </w:t>
      </w:r>
      <w:r w:rsidRPr="00A67FD7">
        <w:rPr>
          <w:i/>
          <w:iCs/>
          <w:lang w:val="en-US"/>
        </w:rPr>
        <w:t>don’t</w:t>
      </w:r>
      <w:r>
        <w:rPr>
          <w:lang w:val="en-US"/>
        </w:rPr>
        <w:t xml:space="preserve"> have to cover the mechanics behind conducting a survey, such as the minimum sample size required for a representative sample, the appropriate number and style of questions for different medium (e.g.</w:t>
      </w:r>
      <w:r w:rsidR="00D9648A">
        <w:rPr>
          <w:lang w:val="en-US"/>
        </w:rPr>
        <w:t>:</w:t>
      </w:r>
      <w:r>
        <w:rPr>
          <w:lang w:val="en-US"/>
        </w:rPr>
        <w:t xml:space="preserve"> face-to-face, phone, online)</w:t>
      </w:r>
      <w:r w:rsidR="00A67FD7">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90DA6"/>
    <w:multiLevelType w:val="hybridMultilevel"/>
    <w:tmpl w:val="6F8003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A710B8A"/>
    <w:multiLevelType w:val="hybridMultilevel"/>
    <w:tmpl w:val="911C78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2357537"/>
    <w:multiLevelType w:val="hybridMultilevel"/>
    <w:tmpl w:val="08AAC3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9A423A6"/>
    <w:multiLevelType w:val="hybridMultilevel"/>
    <w:tmpl w:val="E89E9792"/>
    <w:lvl w:ilvl="0" w:tplc="DD988B3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E8F70F7"/>
    <w:multiLevelType w:val="hybridMultilevel"/>
    <w:tmpl w:val="F6ACE2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9B56F3"/>
    <w:multiLevelType w:val="hybridMultilevel"/>
    <w:tmpl w:val="F8D47BCE"/>
    <w:lvl w:ilvl="0" w:tplc="380EF83C">
      <w:start w:val="1"/>
      <w:numFmt w:val="decimal"/>
      <w:lvlText w:val="%1."/>
      <w:lvlJc w:val="left"/>
      <w:pPr>
        <w:ind w:left="122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ECF2469"/>
    <w:multiLevelType w:val="hybridMultilevel"/>
    <w:tmpl w:val="2FD2D5AC"/>
    <w:lvl w:ilvl="0" w:tplc="380EF83C">
      <w:start w:val="1"/>
      <w:numFmt w:val="decimal"/>
      <w:lvlText w:val="%1."/>
      <w:lvlJc w:val="left"/>
      <w:pPr>
        <w:ind w:left="2084" w:hanging="360"/>
      </w:pPr>
      <w:rPr>
        <w:rFonts w:hint="default"/>
      </w:rPr>
    </w:lvl>
    <w:lvl w:ilvl="1" w:tplc="48090019" w:tentative="1">
      <w:start w:val="1"/>
      <w:numFmt w:val="lowerLetter"/>
      <w:lvlText w:val="%2."/>
      <w:lvlJc w:val="left"/>
      <w:pPr>
        <w:ind w:left="2302" w:hanging="360"/>
      </w:pPr>
    </w:lvl>
    <w:lvl w:ilvl="2" w:tplc="4809001B" w:tentative="1">
      <w:start w:val="1"/>
      <w:numFmt w:val="lowerRoman"/>
      <w:lvlText w:val="%3."/>
      <w:lvlJc w:val="right"/>
      <w:pPr>
        <w:ind w:left="3022" w:hanging="180"/>
      </w:pPr>
    </w:lvl>
    <w:lvl w:ilvl="3" w:tplc="4809000F" w:tentative="1">
      <w:start w:val="1"/>
      <w:numFmt w:val="decimal"/>
      <w:lvlText w:val="%4."/>
      <w:lvlJc w:val="left"/>
      <w:pPr>
        <w:ind w:left="3742" w:hanging="360"/>
      </w:pPr>
    </w:lvl>
    <w:lvl w:ilvl="4" w:tplc="48090019" w:tentative="1">
      <w:start w:val="1"/>
      <w:numFmt w:val="lowerLetter"/>
      <w:lvlText w:val="%5."/>
      <w:lvlJc w:val="left"/>
      <w:pPr>
        <w:ind w:left="4462" w:hanging="360"/>
      </w:pPr>
    </w:lvl>
    <w:lvl w:ilvl="5" w:tplc="4809001B" w:tentative="1">
      <w:start w:val="1"/>
      <w:numFmt w:val="lowerRoman"/>
      <w:lvlText w:val="%6."/>
      <w:lvlJc w:val="right"/>
      <w:pPr>
        <w:ind w:left="5182" w:hanging="180"/>
      </w:pPr>
    </w:lvl>
    <w:lvl w:ilvl="6" w:tplc="4809000F" w:tentative="1">
      <w:start w:val="1"/>
      <w:numFmt w:val="decimal"/>
      <w:lvlText w:val="%7."/>
      <w:lvlJc w:val="left"/>
      <w:pPr>
        <w:ind w:left="5902" w:hanging="360"/>
      </w:pPr>
    </w:lvl>
    <w:lvl w:ilvl="7" w:tplc="48090019" w:tentative="1">
      <w:start w:val="1"/>
      <w:numFmt w:val="lowerLetter"/>
      <w:lvlText w:val="%8."/>
      <w:lvlJc w:val="left"/>
      <w:pPr>
        <w:ind w:left="6622" w:hanging="360"/>
      </w:pPr>
    </w:lvl>
    <w:lvl w:ilvl="8" w:tplc="4809001B" w:tentative="1">
      <w:start w:val="1"/>
      <w:numFmt w:val="lowerRoman"/>
      <w:lvlText w:val="%9."/>
      <w:lvlJc w:val="right"/>
      <w:pPr>
        <w:ind w:left="7342" w:hanging="180"/>
      </w:pPr>
    </w:lvl>
  </w:abstractNum>
  <w:abstractNum w:abstractNumId="7" w15:restartNumberingAfterBreak="0">
    <w:nsid w:val="50AD3889"/>
    <w:multiLevelType w:val="hybridMultilevel"/>
    <w:tmpl w:val="08AAC3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792543E"/>
    <w:multiLevelType w:val="hybridMultilevel"/>
    <w:tmpl w:val="28803DB2"/>
    <w:lvl w:ilvl="0" w:tplc="380EF83C">
      <w:start w:val="1"/>
      <w:numFmt w:val="decimal"/>
      <w:lvlText w:val="%1."/>
      <w:lvlJc w:val="left"/>
      <w:pPr>
        <w:ind w:left="1222" w:hanging="360"/>
      </w:pPr>
      <w:rPr>
        <w:rFonts w:hint="default"/>
      </w:rPr>
    </w:lvl>
    <w:lvl w:ilvl="1" w:tplc="48090019" w:tentative="1">
      <w:start w:val="1"/>
      <w:numFmt w:val="lowerLetter"/>
      <w:lvlText w:val="%2."/>
      <w:lvlJc w:val="left"/>
      <w:pPr>
        <w:ind w:left="1942" w:hanging="360"/>
      </w:pPr>
    </w:lvl>
    <w:lvl w:ilvl="2" w:tplc="4809001B" w:tentative="1">
      <w:start w:val="1"/>
      <w:numFmt w:val="lowerRoman"/>
      <w:lvlText w:val="%3."/>
      <w:lvlJc w:val="right"/>
      <w:pPr>
        <w:ind w:left="2662" w:hanging="180"/>
      </w:pPr>
    </w:lvl>
    <w:lvl w:ilvl="3" w:tplc="4809000F" w:tentative="1">
      <w:start w:val="1"/>
      <w:numFmt w:val="decimal"/>
      <w:lvlText w:val="%4."/>
      <w:lvlJc w:val="left"/>
      <w:pPr>
        <w:ind w:left="3382" w:hanging="360"/>
      </w:pPr>
    </w:lvl>
    <w:lvl w:ilvl="4" w:tplc="48090019" w:tentative="1">
      <w:start w:val="1"/>
      <w:numFmt w:val="lowerLetter"/>
      <w:lvlText w:val="%5."/>
      <w:lvlJc w:val="left"/>
      <w:pPr>
        <w:ind w:left="4102" w:hanging="360"/>
      </w:pPr>
    </w:lvl>
    <w:lvl w:ilvl="5" w:tplc="4809001B" w:tentative="1">
      <w:start w:val="1"/>
      <w:numFmt w:val="lowerRoman"/>
      <w:lvlText w:val="%6."/>
      <w:lvlJc w:val="right"/>
      <w:pPr>
        <w:ind w:left="4822" w:hanging="180"/>
      </w:pPr>
    </w:lvl>
    <w:lvl w:ilvl="6" w:tplc="4809000F" w:tentative="1">
      <w:start w:val="1"/>
      <w:numFmt w:val="decimal"/>
      <w:lvlText w:val="%7."/>
      <w:lvlJc w:val="left"/>
      <w:pPr>
        <w:ind w:left="5542" w:hanging="360"/>
      </w:pPr>
    </w:lvl>
    <w:lvl w:ilvl="7" w:tplc="48090019" w:tentative="1">
      <w:start w:val="1"/>
      <w:numFmt w:val="lowerLetter"/>
      <w:lvlText w:val="%8."/>
      <w:lvlJc w:val="left"/>
      <w:pPr>
        <w:ind w:left="6262" w:hanging="360"/>
      </w:pPr>
    </w:lvl>
    <w:lvl w:ilvl="8" w:tplc="4809001B" w:tentative="1">
      <w:start w:val="1"/>
      <w:numFmt w:val="lowerRoman"/>
      <w:lvlText w:val="%9."/>
      <w:lvlJc w:val="right"/>
      <w:pPr>
        <w:ind w:left="6982" w:hanging="180"/>
      </w:pPr>
    </w:lvl>
  </w:abstractNum>
  <w:abstractNum w:abstractNumId="9" w15:restartNumberingAfterBreak="0">
    <w:nsid w:val="58242060"/>
    <w:multiLevelType w:val="hybridMultilevel"/>
    <w:tmpl w:val="771264EA"/>
    <w:lvl w:ilvl="0" w:tplc="48090001">
      <w:start w:val="1"/>
      <w:numFmt w:val="bullet"/>
      <w:lvlText w:val=""/>
      <w:lvlJc w:val="left"/>
      <w:pPr>
        <w:ind w:left="770" w:hanging="360"/>
      </w:pPr>
      <w:rPr>
        <w:rFonts w:ascii="Symbol" w:hAnsi="Symbol" w:hint="default"/>
      </w:rPr>
    </w:lvl>
    <w:lvl w:ilvl="1" w:tplc="48090003" w:tentative="1">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0" w15:restartNumberingAfterBreak="0">
    <w:nsid w:val="5C614138"/>
    <w:multiLevelType w:val="hybridMultilevel"/>
    <w:tmpl w:val="77F20B4E"/>
    <w:lvl w:ilvl="0" w:tplc="4809000F">
      <w:start w:val="1"/>
      <w:numFmt w:val="decimal"/>
      <w:lvlText w:val="%1."/>
      <w:lvlJc w:val="left"/>
      <w:pPr>
        <w:ind w:left="1584" w:hanging="360"/>
      </w:pPr>
    </w:lvl>
    <w:lvl w:ilvl="1" w:tplc="48090019" w:tentative="1">
      <w:start w:val="1"/>
      <w:numFmt w:val="lowerLetter"/>
      <w:lvlText w:val="%2."/>
      <w:lvlJc w:val="left"/>
      <w:pPr>
        <w:ind w:left="2304" w:hanging="360"/>
      </w:pPr>
    </w:lvl>
    <w:lvl w:ilvl="2" w:tplc="4809001B" w:tentative="1">
      <w:start w:val="1"/>
      <w:numFmt w:val="lowerRoman"/>
      <w:lvlText w:val="%3."/>
      <w:lvlJc w:val="right"/>
      <w:pPr>
        <w:ind w:left="3024" w:hanging="180"/>
      </w:pPr>
    </w:lvl>
    <w:lvl w:ilvl="3" w:tplc="4809000F" w:tentative="1">
      <w:start w:val="1"/>
      <w:numFmt w:val="decimal"/>
      <w:lvlText w:val="%4."/>
      <w:lvlJc w:val="left"/>
      <w:pPr>
        <w:ind w:left="3744" w:hanging="360"/>
      </w:pPr>
    </w:lvl>
    <w:lvl w:ilvl="4" w:tplc="48090019" w:tentative="1">
      <w:start w:val="1"/>
      <w:numFmt w:val="lowerLetter"/>
      <w:lvlText w:val="%5."/>
      <w:lvlJc w:val="left"/>
      <w:pPr>
        <w:ind w:left="4464" w:hanging="360"/>
      </w:pPr>
    </w:lvl>
    <w:lvl w:ilvl="5" w:tplc="4809001B" w:tentative="1">
      <w:start w:val="1"/>
      <w:numFmt w:val="lowerRoman"/>
      <w:lvlText w:val="%6."/>
      <w:lvlJc w:val="right"/>
      <w:pPr>
        <w:ind w:left="5184" w:hanging="180"/>
      </w:pPr>
    </w:lvl>
    <w:lvl w:ilvl="6" w:tplc="4809000F" w:tentative="1">
      <w:start w:val="1"/>
      <w:numFmt w:val="decimal"/>
      <w:lvlText w:val="%7."/>
      <w:lvlJc w:val="left"/>
      <w:pPr>
        <w:ind w:left="5904" w:hanging="360"/>
      </w:pPr>
    </w:lvl>
    <w:lvl w:ilvl="7" w:tplc="48090019" w:tentative="1">
      <w:start w:val="1"/>
      <w:numFmt w:val="lowerLetter"/>
      <w:lvlText w:val="%8."/>
      <w:lvlJc w:val="left"/>
      <w:pPr>
        <w:ind w:left="6624" w:hanging="360"/>
      </w:pPr>
    </w:lvl>
    <w:lvl w:ilvl="8" w:tplc="4809001B" w:tentative="1">
      <w:start w:val="1"/>
      <w:numFmt w:val="lowerRoman"/>
      <w:lvlText w:val="%9."/>
      <w:lvlJc w:val="right"/>
      <w:pPr>
        <w:ind w:left="7344" w:hanging="180"/>
      </w:pPr>
    </w:lvl>
  </w:abstractNum>
  <w:abstractNum w:abstractNumId="11" w15:restartNumberingAfterBreak="0">
    <w:nsid w:val="6AA92B08"/>
    <w:multiLevelType w:val="hybridMultilevel"/>
    <w:tmpl w:val="14A0B2B2"/>
    <w:lvl w:ilvl="0" w:tplc="4809000F">
      <w:start w:val="1"/>
      <w:numFmt w:val="decimal"/>
      <w:lvlText w:val="%1."/>
      <w:lvlJc w:val="left"/>
      <w:pPr>
        <w:ind w:left="1582" w:hanging="360"/>
      </w:pPr>
    </w:lvl>
    <w:lvl w:ilvl="1" w:tplc="48090019" w:tentative="1">
      <w:start w:val="1"/>
      <w:numFmt w:val="lowerLetter"/>
      <w:lvlText w:val="%2."/>
      <w:lvlJc w:val="left"/>
      <w:pPr>
        <w:ind w:left="2302" w:hanging="360"/>
      </w:pPr>
    </w:lvl>
    <w:lvl w:ilvl="2" w:tplc="4809001B" w:tentative="1">
      <w:start w:val="1"/>
      <w:numFmt w:val="lowerRoman"/>
      <w:lvlText w:val="%3."/>
      <w:lvlJc w:val="right"/>
      <w:pPr>
        <w:ind w:left="3022" w:hanging="180"/>
      </w:pPr>
    </w:lvl>
    <w:lvl w:ilvl="3" w:tplc="4809000F" w:tentative="1">
      <w:start w:val="1"/>
      <w:numFmt w:val="decimal"/>
      <w:lvlText w:val="%4."/>
      <w:lvlJc w:val="left"/>
      <w:pPr>
        <w:ind w:left="3742" w:hanging="360"/>
      </w:pPr>
    </w:lvl>
    <w:lvl w:ilvl="4" w:tplc="48090019" w:tentative="1">
      <w:start w:val="1"/>
      <w:numFmt w:val="lowerLetter"/>
      <w:lvlText w:val="%5."/>
      <w:lvlJc w:val="left"/>
      <w:pPr>
        <w:ind w:left="4462" w:hanging="360"/>
      </w:pPr>
    </w:lvl>
    <w:lvl w:ilvl="5" w:tplc="4809001B" w:tentative="1">
      <w:start w:val="1"/>
      <w:numFmt w:val="lowerRoman"/>
      <w:lvlText w:val="%6."/>
      <w:lvlJc w:val="right"/>
      <w:pPr>
        <w:ind w:left="5182" w:hanging="180"/>
      </w:pPr>
    </w:lvl>
    <w:lvl w:ilvl="6" w:tplc="4809000F" w:tentative="1">
      <w:start w:val="1"/>
      <w:numFmt w:val="decimal"/>
      <w:lvlText w:val="%7."/>
      <w:lvlJc w:val="left"/>
      <w:pPr>
        <w:ind w:left="5902" w:hanging="360"/>
      </w:pPr>
    </w:lvl>
    <w:lvl w:ilvl="7" w:tplc="48090019" w:tentative="1">
      <w:start w:val="1"/>
      <w:numFmt w:val="lowerLetter"/>
      <w:lvlText w:val="%8."/>
      <w:lvlJc w:val="left"/>
      <w:pPr>
        <w:ind w:left="6622" w:hanging="360"/>
      </w:pPr>
    </w:lvl>
    <w:lvl w:ilvl="8" w:tplc="4809001B" w:tentative="1">
      <w:start w:val="1"/>
      <w:numFmt w:val="lowerRoman"/>
      <w:lvlText w:val="%9."/>
      <w:lvlJc w:val="right"/>
      <w:pPr>
        <w:ind w:left="7342" w:hanging="180"/>
      </w:pPr>
    </w:lvl>
  </w:abstractNum>
  <w:abstractNum w:abstractNumId="12" w15:restartNumberingAfterBreak="0">
    <w:nsid w:val="6BE2162E"/>
    <w:multiLevelType w:val="hybridMultilevel"/>
    <w:tmpl w:val="9E709716"/>
    <w:lvl w:ilvl="0" w:tplc="380EF83C">
      <w:start w:val="1"/>
      <w:numFmt w:val="decimal"/>
      <w:lvlText w:val="%1."/>
      <w:lvlJc w:val="left"/>
      <w:pPr>
        <w:ind w:left="1222" w:hanging="360"/>
      </w:pPr>
      <w:rPr>
        <w:rFonts w:hint="default"/>
      </w:rPr>
    </w:lvl>
    <w:lvl w:ilvl="1" w:tplc="48090019" w:tentative="1">
      <w:start w:val="1"/>
      <w:numFmt w:val="lowerLetter"/>
      <w:lvlText w:val="%2."/>
      <w:lvlJc w:val="left"/>
      <w:pPr>
        <w:ind w:left="1942" w:hanging="360"/>
      </w:pPr>
    </w:lvl>
    <w:lvl w:ilvl="2" w:tplc="4809001B" w:tentative="1">
      <w:start w:val="1"/>
      <w:numFmt w:val="lowerRoman"/>
      <w:lvlText w:val="%3."/>
      <w:lvlJc w:val="right"/>
      <w:pPr>
        <w:ind w:left="2662" w:hanging="180"/>
      </w:pPr>
    </w:lvl>
    <w:lvl w:ilvl="3" w:tplc="4809000F" w:tentative="1">
      <w:start w:val="1"/>
      <w:numFmt w:val="decimal"/>
      <w:lvlText w:val="%4."/>
      <w:lvlJc w:val="left"/>
      <w:pPr>
        <w:ind w:left="3382" w:hanging="360"/>
      </w:pPr>
    </w:lvl>
    <w:lvl w:ilvl="4" w:tplc="48090019" w:tentative="1">
      <w:start w:val="1"/>
      <w:numFmt w:val="lowerLetter"/>
      <w:lvlText w:val="%5."/>
      <w:lvlJc w:val="left"/>
      <w:pPr>
        <w:ind w:left="4102" w:hanging="360"/>
      </w:pPr>
    </w:lvl>
    <w:lvl w:ilvl="5" w:tplc="4809001B" w:tentative="1">
      <w:start w:val="1"/>
      <w:numFmt w:val="lowerRoman"/>
      <w:lvlText w:val="%6."/>
      <w:lvlJc w:val="right"/>
      <w:pPr>
        <w:ind w:left="4822" w:hanging="180"/>
      </w:pPr>
    </w:lvl>
    <w:lvl w:ilvl="6" w:tplc="4809000F" w:tentative="1">
      <w:start w:val="1"/>
      <w:numFmt w:val="decimal"/>
      <w:lvlText w:val="%7."/>
      <w:lvlJc w:val="left"/>
      <w:pPr>
        <w:ind w:left="5542" w:hanging="360"/>
      </w:pPr>
    </w:lvl>
    <w:lvl w:ilvl="7" w:tplc="48090019" w:tentative="1">
      <w:start w:val="1"/>
      <w:numFmt w:val="lowerLetter"/>
      <w:lvlText w:val="%8."/>
      <w:lvlJc w:val="left"/>
      <w:pPr>
        <w:ind w:left="6262" w:hanging="360"/>
      </w:pPr>
    </w:lvl>
    <w:lvl w:ilvl="8" w:tplc="4809001B" w:tentative="1">
      <w:start w:val="1"/>
      <w:numFmt w:val="lowerRoman"/>
      <w:lvlText w:val="%9."/>
      <w:lvlJc w:val="right"/>
      <w:pPr>
        <w:ind w:left="6982" w:hanging="180"/>
      </w:pPr>
    </w:lvl>
  </w:abstractNum>
  <w:abstractNum w:abstractNumId="13" w15:restartNumberingAfterBreak="0">
    <w:nsid w:val="6CFA13CC"/>
    <w:multiLevelType w:val="hybridMultilevel"/>
    <w:tmpl w:val="95B6FB76"/>
    <w:lvl w:ilvl="0" w:tplc="A60E12C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6933320"/>
    <w:multiLevelType w:val="hybridMultilevel"/>
    <w:tmpl w:val="0F0812E8"/>
    <w:lvl w:ilvl="0" w:tplc="8904EB6C">
      <w:start w:val="1"/>
      <w:numFmt w:val="decimal"/>
      <w:lvlText w:val="%1."/>
      <w:lvlJc w:val="left"/>
      <w:pPr>
        <w:ind w:left="1224" w:hanging="360"/>
      </w:pPr>
      <w:rPr>
        <w:rFonts w:hint="default"/>
      </w:rPr>
    </w:lvl>
    <w:lvl w:ilvl="1" w:tplc="48090019" w:tentative="1">
      <w:start w:val="1"/>
      <w:numFmt w:val="lowerLetter"/>
      <w:lvlText w:val="%2."/>
      <w:lvlJc w:val="left"/>
      <w:pPr>
        <w:ind w:left="1944" w:hanging="360"/>
      </w:pPr>
    </w:lvl>
    <w:lvl w:ilvl="2" w:tplc="4809001B" w:tentative="1">
      <w:start w:val="1"/>
      <w:numFmt w:val="lowerRoman"/>
      <w:lvlText w:val="%3."/>
      <w:lvlJc w:val="right"/>
      <w:pPr>
        <w:ind w:left="2664" w:hanging="180"/>
      </w:pPr>
    </w:lvl>
    <w:lvl w:ilvl="3" w:tplc="4809000F" w:tentative="1">
      <w:start w:val="1"/>
      <w:numFmt w:val="decimal"/>
      <w:lvlText w:val="%4."/>
      <w:lvlJc w:val="left"/>
      <w:pPr>
        <w:ind w:left="3384" w:hanging="360"/>
      </w:pPr>
    </w:lvl>
    <w:lvl w:ilvl="4" w:tplc="48090019" w:tentative="1">
      <w:start w:val="1"/>
      <w:numFmt w:val="lowerLetter"/>
      <w:lvlText w:val="%5."/>
      <w:lvlJc w:val="left"/>
      <w:pPr>
        <w:ind w:left="4104" w:hanging="360"/>
      </w:pPr>
    </w:lvl>
    <w:lvl w:ilvl="5" w:tplc="4809001B" w:tentative="1">
      <w:start w:val="1"/>
      <w:numFmt w:val="lowerRoman"/>
      <w:lvlText w:val="%6."/>
      <w:lvlJc w:val="right"/>
      <w:pPr>
        <w:ind w:left="4824" w:hanging="180"/>
      </w:pPr>
    </w:lvl>
    <w:lvl w:ilvl="6" w:tplc="4809000F" w:tentative="1">
      <w:start w:val="1"/>
      <w:numFmt w:val="decimal"/>
      <w:lvlText w:val="%7."/>
      <w:lvlJc w:val="left"/>
      <w:pPr>
        <w:ind w:left="5544" w:hanging="360"/>
      </w:pPr>
    </w:lvl>
    <w:lvl w:ilvl="7" w:tplc="48090019" w:tentative="1">
      <w:start w:val="1"/>
      <w:numFmt w:val="lowerLetter"/>
      <w:lvlText w:val="%8."/>
      <w:lvlJc w:val="left"/>
      <w:pPr>
        <w:ind w:left="6264" w:hanging="360"/>
      </w:pPr>
    </w:lvl>
    <w:lvl w:ilvl="8" w:tplc="4809001B" w:tentative="1">
      <w:start w:val="1"/>
      <w:numFmt w:val="lowerRoman"/>
      <w:lvlText w:val="%9."/>
      <w:lvlJc w:val="right"/>
      <w:pPr>
        <w:ind w:left="6984" w:hanging="180"/>
      </w:pPr>
    </w:lvl>
  </w:abstractNum>
  <w:abstractNum w:abstractNumId="15" w15:restartNumberingAfterBreak="0">
    <w:nsid w:val="78302D21"/>
    <w:multiLevelType w:val="hybridMultilevel"/>
    <w:tmpl w:val="23CEF4A6"/>
    <w:lvl w:ilvl="0" w:tplc="4809000F">
      <w:start w:val="1"/>
      <w:numFmt w:val="decimal"/>
      <w:lvlText w:val="%1."/>
      <w:lvlJc w:val="left"/>
      <w:pPr>
        <w:ind w:left="770" w:hanging="360"/>
      </w:pPr>
    </w:lvl>
    <w:lvl w:ilvl="1" w:tplc="48090019" w:tentative="1">
      <w:start w:val="1"/>
      <w:numFmt w:val="lowerLetter"/>
      <w:lvlText w:val="%2."/>
      <w:lvlJc w:val="left"/>
      <w:pPr>
        <w:ind w:left="1490" w:hanging="360"/>
      </w:pPr>
    </w:lvl>
    <w:lvl w:ilvl="2" w:tplc="4809001B" w:tentative="1">
      <w:start w:val="1"/>
      <w:numFmt w:val="lowerRoman"/>
      <w:lvlText w:val="%3."/>
      <w:lvlJc w:val="right"/>
      <w:pPr>
        <w:ind w:left="2210" w:hanging="180"/>
      </w:pPr>
    </w:lvl>
    <w:lvl w:ilvl="3" w:tplc="4809000F" w:tentative="1">
      <w:start w:val="1"/>
      <w:numFmt w:val="decimal"/>
      <w:lvlText w:val="%4."/>
      <w:lvlJc w:val="left"/>
      <w:pPr>
        <w:ind w:left="2930" w:hanging="360"/>
      </w:pPr>
    </w:lvl>
    <w:lvl w:ilvl="4" w:tplc="48090019" w:tentative="1">
      <w:start w:val="1"/>
      <w:numFmt w:val="lowerLetter"/>
      <w:lvlText w:val="%5."/>
      <w:lvlJc w:val="left"/>
      <w:pPr>
        <w:ind w:left="3650" w:hanging="360"/>
      </w:pPr>
    </w:lvl>
    <w:lvl w:ilvl="5" w:tplc="4809001B" w:tentative="1">
      <w:start w:val="1"/>
      <w:numFmt w:val="lowerRoman"/>
      <w:lvlText w:val="%6."/>
      <w:lvlJc w:val="right"/>
      <w:pPr>
        <w:ind w:left="4370" w:hanging="180"/>
      </w:pPr>
    </w:lvl>
    <w:lvl w:ilvl="6" w:tplc="4809000F" w:tentative="1">
      <w:start w:val="1"/>
      <w:numFmt w:val="decimal"/>
      <w:lvlText w:val="%7."/>
      <w:lvlJc w:val="left"/>
      <w:pPr>
        <w:ind w:left="5090" w:hanging="360"/>
      </w:pPr>
    </w:lvl>
    <w:lvl w:ilvl="7" w:tplc="48090019" w:tentative="1">
      <w:start w:val="1"/>
      <w:numFmt w:val="lowerLetter"/>
      <w:lvlText w:val="%8."/>
      <w:lvlJc w:val="left"/>
      <w:pPr>
        <w:ind w:left="5810" w:hanging="360"/>
      </w:pPr>
    </w:lvl>
    <w:lvl w:ilvl="8" w:tplc="4809001B" w:tentative="1">
      <w:start w:val="1"/>
      <w:numFmt w:val="lowerRoman"/>
      <w:lvlText w:val="%9."/>
      <w:lvlJc w:val="right"/>
      <w:pPr>
        <w:ind w:left="6530" w:hanging="180"/>
      </w:pPr>
    </w:lvl>
  </w:abstractNum>
  <w:num w:numId="1" w16cid:durableId="1313367054">
    <w:abstractNumId w:val="11"/>
  </w:num>
  <w:num w:numId="2" w16cid:durableId="1864131482">
    <w:abstractNumId w:val="12"/>
  </w:num>
  <w:num w:numId="3" w16cid:durableId="2084178073">
    <w:abstractNumId w:val="6"/>
  </w:num>
  <w:num w:numId="4" w16cid:durableId="54473935">
    <w:abstractNumId w:val="8"/>
  </w:num>
  <w:num w:numId="5" w16cid:durableId="1299383791">
    <w:abstractNumId w:val="5"/>
  </w:num>
  <w:num w:numId="6" w16cid:durableId="993993582">
    <w:abstractNumId w:val="0"/>
  </w:num>
  <w:num w:numId="7" w16cid:durableId="481119774">
    <w:abstractNumId w:val="10"/>
  </w:num>
  <w:num w:numId="8" w16cid:durableId="1721173540">
    <w:abstractNumId w:val="14"/>
  </w:num>
  <w:num w:numId="9" w16cid:durableId="284579171">
    <w:abstractNumId w:val="9"/>
  </w:num>
  <w:num w:numId="10" w16cid:durableId="1568607538">
    <w:abstractNumId w:val="15"/>
  </w:num>
  <w:num w:numId="11" w16cid:durableId="1813983891">
    <w:abstractNumId w:val="13"/>
  </w:num>
  <w:num w:numId="12" w16cid:durableId="1558517412">
    <w:abstractNumId w:val="7"/>
  </w:num>
  <w:num w:numId="13" w16cid:durableId="2101362939">
    <w:abstractNumId w:val="2"/>
  </w:num>
  <w:num w:numId="14" w16cid:durableId="1941991163">
    <w:abstractNumId w:val="4"/>
  </w:num>
  <w:num w:numId="15" w16cid:durableId="550727417">
    <w:abstractNumId w:val="3"/>
  </w:num>
  <w:num w:numId="16" w16cid:durableId="149061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D13"/>
    <w:rsid w:val="0006337E"/>
    <w:rsid w:val="0007371C"/>
    <w:rsid w:val="0008270C"/>
    <w:rsid w:val="00083BBC"/>
    <w:rsid w:val="000856FD"/>
    <w:rsid w:val="000F6D0E"/>
    <w:rsid w:val="001004B5"/>
    <w:rsid w:val="001028AC"/>
    <w:rsid w:val="001275D4"/>
    <w:rsid w:val="001408E1"/>
    <w:rsid w:val="00166487"/>
    <w:rsid w:val="001752F4"/>
    <w:rsid w:val="00181C1E"/>
    <w:rsid w:val="001A635C"/>
    <w:rsid w:val="001E6BFA"/>
    <w:rsid w:val="00204591"/>
    <w:rsid w:val="00205C2A"/>
    <w:rsid w:val="00230788"/>
    <w:rsid w:val="00234A34"/>
    <w:rsid w:val="002422C5"/>
    <w:rsid w:val="002507BA"/>
    <w:rsid w:val="00260D3F"/>
    <w:rsid w:val="002654EB"/>
    <w:rsid w:val="00265867"/>
    <w:rsid w:val="002753FD"/>
    <w:rsid w:val="002B086F"/>
    <w:rsid w:val="002C5FCE"/>
    <w:rsid w:val="002D35D0"/>
    <w:rsid w:val="002D3E03"/>
    <w:rsid w:val="00301586"/>
    <w:rsid w:val="00312C44"/>
    <w:rsid w:val="00357855"/>
    <w:rsid w:val="003653E7"/>
    <w:rsid w:val="00372B1E"/>
    <w:rsid w:val="00377644"/>
    <w:rsid w:val="00387C4D"/>
    <w:rsid w:val="003C7D66"/>
    <w:rsid w:val="003D2653"/>
    <w:rsid w:val="003D6DE2"/>
    <w:rsid w:val="003F75C1"/>
    <w:rsid w:val="00415997"/>
    <w:rsid w:val="004232F5"/>
    <w:rsid w:val="00432999"/>
    <w:rsid w:val="004C0968"/>
    <w:rsid w:val="0050247C"/>
    <w:rsid w:val="005033B8"/>
    <w:rsid w:val="00534316"/>
    <w:rsid w:val="005978C4"/>
    <w:rsid w:val="005A4B1E"/>
    <w:rsid w:val="005D111D"/>
    <w:rsid w:val="005D3F81"/>
    <w:rsid w:val="005F08B3"/>
    <w:rsid w:val="0060363E"/>
    <w:rsid w:val="0061117A"/>
    <w:rsid w:val="00632D4F"/>
    <w:rsid w:val="00634B9C"/>
    <w:rsid w:val="00640A69"/>
    <w:rsid w:val="00692AC3"/>
    <w:rsid w:val="006A216E"/>
    <w:rsid w:val="006A353B"/>
    <w:rsid w:val="00713008"/>
    <w:rsid w:val="00726282"/>
    <w:rsid w:val="007334FE"/>
    <w:rsid w:val="0073408C"/>
    <w:rsid w:val="00743511"/>
    <w:rsid w:val="00775D41"/>
    <w:rsid w:val="007919E3"/>
    <w:rsid w:val="00793243"/>
    <w:rsid w:val="007B2AAE"/>
    <w:rsid w:val="007D7269"/>
    <w:rsid w:val="00837347"/>
    <w:rsid w:val="00840849"/>
    <w:rsid w:val="0085518E"/>
    <w:rsid w:val="008662DF"/>
    <w:rsid w:val="00894ECF"/>
    <w:rsid w:val="008C3824"/>
    <w:rsid w:val="008D6158"/>
    <w:rsid w:val="008E7B45"/>
    <w:rsid w:val="008F0C41"/>
    <w:rsid w:val="00912906"/>
    <w:rsid w:val="00920074"/>
    <w:rsid w:val="0092710D"/>
    <w:rsid w:val="009341C8"/>
    <w:rsid w:val="00946BC1"/>
    <w:rsid w:val="0095551B"/>
    <w:rsid w:val="00970F5D"/>
    <w:rsid w:val="009728F2"/>
    <w:rsid w:val="00973DA5"/>
    <w:rsid w:val="009746C4"/>
    <w:rsid w:val="00996D3C"/>
    <w:rsid w:val="009A2B71"/>
    <w:rsid w:val="009C5661"/>
    <w:rsid w:val="009E565B"/>
    <w:rsid w:val="009F3F61"/>
    <w:rsid w:val="00A026DB"/>
    <w:rsid w:val="00A20AA7"/>
    <w:rsid w:val="00A20F48"/>
    <w:rsid w:val="00A376DB"/>
    <w:rsid w:val="00A43B6D"/>
    <w:rsid w:val="00A45CF7"/>
    <w:rsid w:val="00A614C4"/>
    <w:rsid w:val="00A67FD7"/>
    <w:rsid w:val="00A92B56"/>
    <w:rsid w:val="00A952DB"/>
    <w:rsid w:val="00AA0315"/>
    <w:rsid w:val="00AD0847"/>
    <w:rsid w:val="00B216CD"/>
    <w:rsid w:val="00B37A1C"/>
    <w:rsid w:val="00B55AEE"/>
    <w:rsid w:val="00B70849"/>
    <w:rsid w:val="00B71D55"/>
    <w:rsid w:val="00B82E20"/>
    <w:rsid w:val="00B9694B"/>
    <w:rsid w:val="00BA17FA"/>
    <w:rsid w:val="00BB4CED"/>
    <w:rsid w:val="00BE462B"/>
    <w:rsid w:val="00C35538"/>
    <w:rsid w:val="00C54C59"/>
    <w:rsid w:val="00C71227"/>
    <w:rsid w:val="00C736B6"/>
    <w:rsid w:val="00C92D13"/>
    <w:rsid w:val="00CB2958"/>
    <w:rsid w:val="00CB6F5D"/>
    <w:rsid w:val="00CE35F9"/>
    <w:rsid w:val="00CE3FFF"/>
    <w:rsid w:val="00CE7FD2"/>
    <w:rsid w:val="00D078ED"/>
    <w:rsid w:val="00D10646"/>
    <w:rsid w:val="00D17CA6"/>
    <w:rsid w:val="00D35216"/>
    <w:rsid w:val="00D46F5A"/>
    <w:rsid w:val="00D60F24"/>
    <w:rsid w:val="00D6370B"/>
    <w:rsid w:val="00D71649"/>
    <w:rsid w:val="00D74FD3"/>
    <w:rsid w:val="00D913EC"/>
    <w:rsid w:val="00D939DD"/>
    <w:rsid w:val="00D9648A"/>
    <w:rsid w:val="00DC4F95"/>
    <w:rsid w:val="00DD5CB4"/>
    <w:rsid w:val="00DE13DC"/>
    <w:rsid w:val="00E3116A"/>
    <w:rsid w:val="00E35BBC"/>
    <w:rsid w:val="00E41AD5"/>
    <w:rsid w:val="00E55DF1"/>
    <w:rsid w:val="00E573AA"/>
    <w:rsid w:val="00E63D71"/>
    <w:rsid w:val="00E74071"/>
    <w:rsid w:val="00E77ABE"/>
    <w:rsid w:val="00E83CD6"/>
    <w:rsid w:val="00E91E1C"/>
    <w:rsid w:val="00E96411"/>
    <w:rsid w:val="00EA1B08"/>
    <w:rsid w:val="00EF405C"/>
    <w:rsid w:val="00F26EE6"/>
    <w:rsid w:val="00F33F47"/>
    <w:rsid w:val="00F637AA"/>
    <w:rsid w:val="00F71597"/>
    <w:rsid w:val="00F806B4"/>
    <w:rsid w:val="00FA1F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25D25"/>
  <w15:chartTrackingRefBased/>
  <w15:docId w15:val="{79927BA7-DF9E-4CA8-9F1D-002BA8DB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C92D1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92D13"/>
    <w:rPr>
      <w:i/>
      <w:iCs/>
      <w:color w:val="5B9BD5" w:themeColor="accent1"/>
    </w:rPr>
  </w:style>
  <w:style w:type="character" w:styleId="Hyperlink">
    <w:name w:val="Hyperlink"/>
    <w:basedOn w:val="DefaultParagraphFont"/>
    <w:uiPriority w:val="99"/>
    <w:unhideWhenUsed/>
    <w:rsid w:val="00B55AEE"/>
    <w:rPr>
      <w:color w:val="0563C1" w:themeColor="hyperlink"/>
      <w:u w:val="single"/>
    </w:rPr>
  </w:style>
  <w:style w:type="paragraph" w:styleId="ListParagraph">
    <w:name w:val="List Paragraph"/>
    <w:basedOn w:val="Normal"/>
    <w:uiPriority w:val="34"/>
    <w:qFormat/>
    <w:rsid w:val="00B55AEE"/>
    <w:pPr>
      <w:ind w:left="720"/>
      <w:contextualSpacing/>
    </w:pPr>
  </w:style>
  <w:style w:type="paragraph" w:styleId="FootnoteText">
    <w:name w:val="footnote text"/>
    <w:basedOn w:val="Normal"/>
    <w:link w:val="FootnoteTextChar"/>
    <w:uiPriority w:val="99"/>
    <w:semiHidden/>
    <w:unhideWhenUsed/>
    <w:rsid w:val="00C35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5538"/>
    <w:rPr>
      <w:sz w:val="20"/>
      <w:szCs w:val="20"/>
    </w:rPr>
  </w:style>
  <w:style w:type="character" w:styleId="FootnoteReference">
    <w:name w:val="footnote reference"/>
    <w:basedOn w:val="DefaultParagraphFont"/>
    <w:uiPriority w:val="99"/>
    <w:semiHidden/>
    <w:unhideWhenUsed/>
    <w:rsid w:val="00C35538"/>
    <w:rPr>
      <w:vertAlign w:val="superscript"/>
    </w:rPr>
  </w:style>
  <w:style w:type="character" w:customStyle="1" w:styleId="UnresolvedMention1">
    <w:name w:val="Unresolved Mention1"/>
    <w:basedOn w:val="DefaultParagraphFont"/>
    <w:uiPriority w:val="99"/>
    <w:semiHidden/>
    <w:unhideWhenUsed/>
    <w:rsid w:val="00204591"/>
    <w:rPr>
      <w:color w:val="605E5C"/>
      <w:shd w:val="clear" w:color="auto" w:fill="E1DFDD"/>
    </w:rPr>
  </w:style>
  <w:style w:type="character" w:styleId="FollowedHyperlink">
    <w:name w:val="FollowedHyperlink"/>
    <w:basedOn w:val="DefaultParagraphFont"/>
    <w:uiPriority w:val="99"/>
    <w:semiHidden/>
    <w:unhideWhenUsed/>
    <w:rsid w:val="00E91E1C"/>
    <w:rPr>
      <w:color w:val="954F72" w:themeColor="followedHyperlink"/>
      <w:u w:val="single"/>
    </w:rPr>
  </w:style>
  <w:style w:type="character" w:styleId="CommentReference">
    <w:name w:val="annotation reference"/>
    <w:basedOn w:val="DefaultParagraphFont"/>
    <w:uiPriority w:val="99"/>
    <w:semiHidden/>
    <w:unhideWhenUsed/>
    <w:rsid w:val="00E55DF1"/>
    <w:rPr>
      <w:sz w:val="16"/>
      <w:szCs w:val="16"/>
    </w:rPr>
  </w:style>
  <w:style w:type="paragraph" w:styleId="CommentText">
    <w:name w:val="annotation text"/>
    <w:basedOn w:val="Normal"/>
    <w:link w:val="CommentTextChar"/>
    <w:uiPriority w:val="99"/>
    <w:unhideWhenUsed/>
    <w:rsid w:val="00E55DF1"/>
    <w:pPr>
      <w:spacing w:line="240" w:lineRule="auto"/>
    </w:pPr>
    <w:rPr>
      <w:sz w:val="20"/>
      <w:szCs w:val="20"/>
    </w:rPr>
  </w:style>
  <w:style w:type="character" w:customStyle="1" w:styleId="CommentTextChar">
    <w:name w:val="Comment Text Char"/>
    <w:basedOn w:val="DefaultParagraphFont"/>
    <w:link w:val="CommentText"/>
    <w:uiPriority w:val="99"/>
    <w:rsid w:val="00E55DF1"/>
    <w:rPr>
      <w:sz w:val="20"/>
      <w:szCs w:val="20"/>
    </w:rPr>
  </w:style>
  <w:style w:type="paragraph" w:styleId="CommentSubject">
    <w:name w:val="annotation subject"/>
    <w:basedOn w:val="CommentText"/>
    <w:next w:val="CommentText"/>
    <w:link w:val="CommentSubjectChar"/>
    <w:uiPriority w:val="99"/>
    <w:semiHidden/>
    <w:unhideWhenUsed/>
    <w:rsid w:val="00E55DF1"/>
    <w:rPr>
      <w:b/>
      <w:bCs/>
    </w:rPr>
  </w:style>
  <w:style w:type="character" w:customStyle="1" w:styleId="CommentSubjectChar">
    <w:name w:val="Comment Subject Char"/>
    <w:basedOn w:val="CommentTextChar"/>
    <w:link w:val="CommentSubject"/>
    <w:uiPriority w:val="99"/>
    <w:semiHidden/>
    <w:rsid w:val="00E55DF1"/>
    <w:rPr>
      <w:b/>
      <w:bCs/>
      <w:sz w:val="20"/>
      <w:szCs w:val="20"/>
    </w:rPr>
  </w:style>
  <w:style w:type="paragraph" w:styleId="BalloonText">
    <w:name w:val="Balloon Text"/>
    <w:basedOn w:val="Normal"/>
    <w:link w:val="BalloonTextChar"/>
    <w:uiPriority w:val="99"/>
    <w:semiHidden/>
    <w:unhideWhenUsed/>
    <w:rsid w:val="00E55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DF1"/>
    <w:rPr>
      <w:rFonts w:ascii="Segoe UI" w:hAnsi="Segoe UI" w:cs="Segoe UI"/>
      <w:sz w:val="18"/>
      <w:szCs w:val="18"/>
    </w:rPr>
  </w:style>
  <w:style w:type="paragraph" w:styleId="EndnoteText">
    <w:name w:val="endnote text"/>
    <w:basedOn w:val="Normal"/>
    <w:link w:val="EndnoteTextChar"/>
    <w:uiPriority w:val="99"/>
    <w:semiHidden/>
    <w:unhideWhenUsed/>
    <w:rsid w:val="004329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2999"/>
    <w:rPr>
      <w:sz w:val="20"/>
      <w:szCs w:val="20"/>
    </w:rPr>
  </w:style>
  <w:style w:type="character" w:styleId="EndnoteReference">
    <w:name w:val="endnote reference"/>
    <w:basedOn w:val="DefaultParagraphFont"/>
    <w:uiPriority w:val="99"/>
    <w:semiHidden/>
    <w:unhideWhenUsed/>
    <w:rsid w:val="00432999"/>
    <w:rPr>
      <w:vertAlign w:val="superscript"/>
    </w:rPr>
  </w:style>
  <w:style w:type="paragraph" w:styleId="Revision">
    <w:name w:val="Revision"/>
    <w:hidden/>
    <w:uiPriority w:val="99"/>
    <w:semiHidden/>
    <w:rsid w:val="00E63D71"/>
    <w:pPr>
      <w:spacing w:after="0" w:line="240" w:lineRule="auto"/>
    </w:pPr>
  </w:style>
  <w:style w:type="character" w:styleId="UnresolvedMention">
    <w:name w:val="Unresolved Mention"/>
    <w:basedOn w:val="DefaultParagraphFont"/>
    <w:uiPriority w:val="99"/>
    <w:semiHidden/>
    <w:unhideWhenUsed/>
    <w:rsid w:val="00082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0859">
      <w:bodyDiv w:val="1"/>
      <w:marLeft w:val="0"/>
      <w:marRight w:val="0"/>
      <w:marTop w:val="0"/>
      <w:marBottom w:val="0"/>
      <w:divBdr>
        <w:top w:val="none" w:sz="0" w:space="0" w:color="auto"/>
        <w:left w:val="none" w:sz="0" w:space="0" w:color="auto"/>
        <w:bottom w:val="none" w:sz="0" w:space="0" w:color="auto"/>
        <w:right w:val="none" w:sz="0" w:space="0" w:color="auto"/>
      </w:divBdr>
    </w:div>
    <w:div w:id="1497301054">
      <w:bodyDiv w:val="1"/>
      <w:marLeft w:val="0"/>
      <w:marRight w:val="0"/>
      <w:marTop w:val="0"/>
      <w:marBottom w:val="0"/>
      <w:divBdr>
        <w:top w:val="none" w:sz="0" w:space="0" w:color="auto"/>
        <w:left w:val="none" w:sz="0" w:space="0" w:color="auto"/>
        <w:bottom w:val="none" w:sz="0" w:space="0" w:color="auto"/>
        <w:right w:val="none" w:sz="0" w:space="0" w:color="auto"/>
      </w:divBdr>
    </w:div>
    <w:div w:id="200069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gov.sg/dataset/resale-flat-prices" TargetMode="External"/><Relationship Id="rId18" Type="http://schemas.openxmlformats.org/officeDocument/2006/relationships/hyperlink" Target="https://data.gov.sg/dataset/listing-of-centres" TargetMode="External"/><Relationship Id="rId26" Type="http://schemas.openxmlformats.org/officeDocument/2006/relationships/hyperlink" Target="https://data.gov.sg/dataset/source-of-cases-registered-at-the-community-mediation-centre" TargetMode="External"/><Relationship Id="rId3" Type="http://schemas.openxmlformats.org/officeDocument/2006/relationships/styles" Target="styles.xml"/><Relationship Id="rId21" Type="http://schemas.openxmlformats.org/officeDocument/2006/relationships/hyperlink" Target="https://data.gov.sg/dataset/master-plan-2019-sdcp-park-connector-line-layer" TargetMode="External"/><Relationship Id="rId7" Type="http://schemas.openxmlformats.org/officeDocument/2006/relationships/endnotes" Target="endnotes.xml"/><Relationship Id="rId12" Type="http://schemas.openxmlformats.org/officeDocument/2006/relationships/hyperlink" Target="https://data.gov.sg/dataset/cea-salesperson-residential-transaction-record" TargetMode="External"/><Relationship Id="rId17" Type="http://schemas.openxmlformats.org/officeDocument/2006/relationships/hyperlink" Target="https://data.gov.sg/datasets/d_e39eeaeadb571c0d0725ef1eec48d166/view" TargetMode="External"/><Relationship Id="rId25" Type="http://schemas.openxmlformats.org/officeDocument/2006/relationships/hyperlink" Target="https://data.gov.sg/dataset/registered-cases-at-the-community-mediation-centre" TargetMode="External"/><Relationship Id="rId2" Type="http://schemas.openxmlformats.org/officeDocument/2006/relationships/numbering" Target="numbering.xml"/><Relationship Id="rId16" Type="http://schemas.openxmlformats.org/officeDocument/2006/relationships/hyperlink" Target="https://www.singstat.gov.sg/-/media/files/find_data/population/statistical_tables/respopagesex2000to2020e.ashx" TargetMode="External"/><Relationship Id="rId20" Type="http://schemas.openxmlformats.org/officeDocument/2006/relationships/hyperlink" Target="https://data.gov.sg/dataset/master-plan-2019-subzone-boundary-no-se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annelnewsasia.com/singapore/volunteerism-singapore-more-vocal-youth-new-outreach-initiatives-covid-19-pandemic-red-cross-3122891" TargetMode="External"/><Relationship Id="rId24" Type="http://schemas.openxmlformats.org/officeDocument/2006/relationships/hyperlink" Target="https://data.gov.sg/dataset/data-on-moral-foundations-theory" TargetMode="External"/><Relationship Id="rId5" Type="http://schemas.openxmlformats.org/officeDocument/2006/relationships/webSettings" Target="webSettings.xml"/><Relationship Id="rId15" Type="http://schemas.openxmlformats.org/officeDocument/2006/relationships/hyperlink" Target="https://data.gov.sg/datasets/d_69b3380ad7e51aff3a7dcc84eba52b8a/view" TargetMode="External"/><Relationship Id="rId23" Type="http://schemas.openxmlformats.org/officeDocument/2006/relationships/hyperlink" Target="https://data.gov.sg/dataset/master-plan-2019-road-name-layer?resource_id=667b3f04-38d7-4be1-bb0e-6aa4141a03ee" TargetMode="External"/><Relationship Id="rId28" Type="http://schemas.openxmlformats.org/officeDocument/2006/relationships/hyperlink" Target="https://data.gov.sg/dataset/outcome-of-cases-registered-at-the-community-mediation-centre" TargetMode="External"/><Relationship Id="rId10" Type="http://schemas.openxmlformats.org/officeDocument/2006/relationships/hyperlink" Target="https://www.straitstimes.com/singapore/transport/call-for-suggestions-on-ways-to-improve-cycling-experience-in-sengkang" TargetMode="External"/><Relationship Id="rId19" Type="http://schemas.openxmlformats.org/officeDocument/2006/relationships/hyperlink" Target="https://github.com/linzi-sg/qs-case-study-data/blob/main/btomapping.csv" TargetMode="External"/><Relationship Id="rId4" Type="http://schemas.openxmlformats.org/officeDocument/2006/relationships/settings" Target="settings.xml"/><Relationship Id="rId9" Type="http://schemas.openxmlformats.org/officeDocument/2006/relationships/hyperlink" Target="https://www.todayonline.com/big-read/big-read-preschool-conundrum-why-shortage-places-persists-some-estates-despite-millions-invested-1934661" TargetMode="External"/><Relationship Id="rId14" Type="http://schemas.openxmlformats.org/officeDocument/2006/relationships/hyperlink" Target="https://data.gov.sg/datasets/d_22094bf608253d36c0c63b52d852dd6e/view" TargetMode="External"/><Relationship Id="rId22" Type="http://schemas.openxmlformats.org/officeDocument/2006/relationships/hyperlink" Target="https://data.gov.sg/dataset/master-plan-2019-sdcp-cycling-path-layer" TargetMode="External"/><Relationship Id="rId27" Type="http://schemas.openxmlformats.org/officeDocument/2006/relationships/hyperlink" Target="https://data.gov.sg/dataset/relationship-of-parti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5A9EF-08E8-4A6F-8673-58099161A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3182</TotalTime>
  <Pages>5</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Zi</dc:creator>
  <cp:keywords/>
  <dc:description/>
  <cp:lastModifiedBy>Victor ONG (GOVTECH)</cp:lastModifiedBy>
  <cp:revision>32</cp:revision>
  <cp:lastPrinted>2025-04-09T09:29:00Z</cp:lastPrinted>
  <dcterms:created xsi:type="dcterms:W3CDTF">2025-06-30T10:11:00Z</dcterms:created>
  <dcterms:modified xsi:type="dcterms:W3CDTF">2025-07-03T08:45:00Z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3db910-0838-4c35-bb3a-1ee21aa199ac_Enabled">
    <vt:lpwstr>true</vt:lpwstr>
  </property>
  <property fmtid="{D5CDD505-2E9C-101B-9397-08002B2CF9AE}" pid="3" name="MSIP_Label_153db910-0838-4c35-bb3a-1ee21aa199ac_SetDate">
    <vt:lpwstr>2023-01-25T08:30:23Z</vt:lpwstr>
  </property>
  <property fmtid="{D5CDD505-2E9C-101B-9397-08002B2CF9AE}" pid="4" name="MSIP_Label_153db910-0838-4c35-bb3a-1ee21aa199ac_Method">
    <vt:lpwstr>Privileged</vt:lpwstr>
  </property>
  <property fmtid="{D5CDD505-2E9C-101B-9397-08002B2CF9AE}" pid="5" name="MSIP_Label_153db910-0838-4c35-bb3a-1ee21aa199ac_Name">
    <vt:lpwstr>Sensitive Normal</vt:lpwstr>
  </property>
  <property fmtid="{D5CDD505-2E9C-101B-9397-08002B2CF9AE}" pid="6" name="MSIP_Label_153db910-0838-4c35-bb3a-1ee21aa199ac_SiteId">
    <vt:lpwstr>0b11c524-9a1c-4e1b-84cb-6336aefc2243</vt:lpwstr>
  </property>
  <property fmtid="{D5CDD505-2E9C-101B-9397-08002B2CF9AE}" pid="7" name="MSIP_Label_153db910-0838-4c35-bb3a-1ee21aa199ac_ActionId">
    <vt:lpwstr>4aa4c9a3-0f7f-4475-89d2-c41ce0c1aaec</vt:lpwstr>
  </property>
  <property fmtid="{D5CDD505-2E9C-101B-9397-08002B2CF9AE}" pid="8" name="MSIP_Label_153db910-0838-4c35-bb3a-1ee21aa199ac_ContentBits">
    <vt:lpwstr>0</vt:lpwstr>
  </property>
</Properties>
</file>