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3872" w14:textId="77777777" w:rsidR="00324689" w:rsidRPr="00EF21E4" w:rsidRDefault="00324689" w:rsidP="00CB5F7A">
      <w:pPr>
        <w:tabs>
          <w:tab w:val="num" w:pos="720"/>
        </w:tabs>
        <w:ind w:left="720" w:hanging="360"/>
        <w:rPr>
          <w:rFonts w:cstheme="minorHAnsi"/>
          <w:b/>
          <w:bCs/>
          <w:sz w:val="22"/>
          <w:szCs w:val="22"/>
        </w:rPr>
      </w:pPr>
      <w:r w:rsidRPr="00EF21E4">
        <w:rPr>
          <w:rFonts w:cstheme="minorHAnsi"/>
          <w:b/>
          <w:bCs/>
          <w:sz w:val="22"/>
          <w:szCs w:val="22"/>
        </w:rPr>
        <w:t xml:space="preserve">Flow of the Presentation </w:t>
      </w:r>
    </w:p>
    <w:p w14:paraId="2E8661A1" w14:textId="77777777" w:rsidR="00324689" w:rsidRPr="00E543C2" w:rsidRDefault="00324689" w:rsidP="00324689">
      <w:pPr>
        <w:pStyle w:val="ListParagraph"/>
        <w:numPr>
          <w:ilvl w:val="0"/>
          <w:numId w:val="4"/>
        </w:numPr>
        <w:tabs>
          <w:tab w:val="num" w:pos="720"/>
        </w:tabs>
        <w:rPr>
          <w:rFonts w:cstheme="minorHAnsi"/>
          <w:sz w:val="20"/>
          <w:szCs w:val="20"/>
        </w:rPr>
      </w:pPr>
      <w:r w:rsidRPr="00E543C2">
        <w:rPr>
          <w:rFonts w:cstheme="minorHAnsi"/>
          <w:sz w:val="20"/>
          <w:szCs w:val="20"/>
        </w:rPr>
        <w:t xml:space="preserve">Executive Summary </w:t>
      </w:r>
      <w:r w:rsidR="00E543C2" w:rsidRPr="00E543C2">
        <w:rPr>
          <w:rFonts w:cstheme="minorHAnsi"/>
          <w:sz w:val="20"/>
          <w:szCs w:val="20"/>
        </w:rPr>
        <w:t>(Talk about the 3 Questions asked and answers in brief)</w:t>
      </w:r>
    </w:p>
    <w:p w14:paraId="745C2CD6" w14:textId="633DDB18" w:rsidR="00324689" w:rsidRDefault="00E543C2" w:rsidP="00324689">
      <w:pPr>
        <w:pStyle w:val="ListParagraph"/>
        <w:numPr>
          <w:ilvl w:val="0"/>
          <w:numId w:val="4"/>
        </w:numPr>
        <w:tabs>
          <w:tab w:val="num" w:pos="720"/>
        </w:tabs>
        <w:rPr>
          <w:rFonts w:cstheme="minorHAnsi"/>
          <w:sz w:val="20"/>
          <w:szCs w:val="20"/>
        </w:rPr>
      </w:pPr>
      <w:r w:rsidRPr="00E543C2">
        <w:rPr>
          <w:rFonts w:cstheme="minorHAnsi"/>
          <w:sz w:val="20"/>
          <w:szCs w:val="20"/>
        </w:rPr>
        <w:t>Data Exploration – Talk about pie chart of BHC</w:t>
      </w:r>
      <w:r>
        <w:rPr>
          <w:rFonts w:cstheme="minorHAnsi"/>
          <w:sz w:val="20"/>
          <w:szCs w:val="20"/>
        </w:rPr>
        <w:t xml:space="preserve"> and show Trend chart </w:t>
      </w:r>
    </w:p>
    <w:p w14:paraId="570B1676" w14:textId="107B791B" w:rsidR="000C57D9" w:rsidRDefault="000C57D9" w:rsidP="00324689">
      <w:pPr>
        <w:pStyle w:val="ListParagraph"/>
        <w:numPr>
          <w:ilvl w:val="0"/>
          <w:numId w:val="4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Model Equation – Copy from paper </w:t>
      </w:r>
    </w:p>
    <w:p w14:paraId="0F30F54C" w14:textId="77777777" w:rsidR="00E543C2" w:rsidRDefault="00E543C2" w:rsidP="00324689">
      <w:pPr>
        <w:pStyle w:val="ListParagraph"/>
        <w:numPr>
          <w:ilvl w:val="0"/>
          <w:numId w:val="4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Model build – Initial Model (regression 1a) -&gt; add control Variables –&gt; Interaction Variables -&gt; Fixed Effects</w:t>
      </w:r>
    </w:p>
    <w:p w14:paraId="643F1948" w14:textId="77777777" w:rsidR="00E543C2" w:rsidRDefault="00E543C2" w:rsidP="00324689">
      <w:pPr>
        <w:pStyle w:val="ListParagraph"/>
        <w:numPr>
          <w:ilvl w:val="0"/>
          <w:numId w:val="4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Propensity Matching model - </w:t>
      </w:r>
    </w:p>
    <w:p w14:paraId="63B9D398" w14:textId="77777777" w:rsidR="00E543C2" w:rsidRDefault="00E543C2" w:rsidP="00324689">
      <w:pPr>
        <w:pStyle w:val="ListParagraph"/>
        <w:numPr>
          <w:ilvl w:val="0"/>
          <w:numId w:val="4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Robustness Tests – </w:t>
      </w:r>
    </w:p>
    <w:p w14:paraId="6AF75265" w14:textId="77777777" w:rsidR="00E543C2" w:rsidRDefault="00E543C2" w:rsidP="00324689">
      <w:pPr>
        <w:pStyle w:val="ListParagraph"/>
        <w:numPr>
          <w:ilvl w:val="0"/>
          <w:numId w:val="4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Final Recommendations  - </w:t>
      </w:r>
      <w:proofErr w:type="spellStart"/>
      <w:r>
        <w:rPr>
          <w:rFonts w:cstheme="minorHAnsi"/>
          <w:sz w:val="20"/>
          <w:szCs w:val="20"/>
        </w:rPr>
        <w:t>Shenay</w:t>
      </w:r>
      <w:proofErr w:type="spellEnd"/>
      <w:r>
        <w:rPr>
          <w:rFonts w:cstheme="minorHAnsi"/>
          <w:sz w:val="20"/>
          <w:szCs w:val="20"/>
        </w:rPr>
        <w:t xml:space="preserve"> add this part</w:t>
      </w:r>
    </w:p>
    <w:p w14:paraId="2D20E747" w14:textId="77777777" w:rsidR="00E543C2" w:rsidRPr="00E543C2" w:rsidRDefault="00E543C2" w:rsidP="00324689">
      <w:pPr>
        <w:pStyle w:val="ListParagraph"/>
        <w:numPr>
          <w:ilvl w:val="0"/>
          <w:numId w:val="4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Appendix – Final Results &amp; Codes</w:t>
      </w:r>
    </w:p>
    <w:p w14:paraId="62554890" w14:textId="77777777" w:rsidR="00CB5F7A" w:rsidRPr="001A69F8" w:rsidRDefault="00CB5F7A" w:rsidP="00CB5F7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1A69F8">
        <w:rPr>
          <w:rFonts w:asciiTheme="minorHAnsi" w:hAnsiTheme="minorHAnsi" w:cstheme="minorHAnsi"/>
          <w:b/>
          <w:bCs/>
          <w:sz w:val="20"/>
          <w:szCs w:val="20"/>
        </w:rPr>
        <w:t xml:space="preserve">Did the banks decrease their trading assets after the announcement of the new regulation? </w:t>
      </w:r>
    </w:p>
    <w:p w14:paraId="7CCD97DF" w14:textId="77777777" w:rsidR="00EF21E4" w:rsidRPr="00E543C2" w:rsidRDefault="00EF21E4" w:rsidP="00EF21E4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Yes, there was an effect on the Trading asset ratios for BHCs due to the new regulations namely the Volcker rule – this finding was derived </w:t>
      </w:r>
      <w:r w:rsidR="004E1FF5">
        <w:rPr>
          <w:rFonts w:asciiTheme="minorHAnsi" w:hAnsiTheme="minorHAnsi" w:cstheme="minorHAnsi"/>
          <w:sz w:val="20"/>
          <w:szCs w:val="20"/>
        </w:rPr>
        <w:t>through the following analysis:</w:t>
      </w:r>
    </w:p>
    <w:p w14:paraId="764844DD" w14:textId="77777777" w:rsidR="00CB5F7A" w:rsidRPr="00EF21E4" w:rsidRDefault="00EF21E4" w:rsidP="00EF21E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 a peripheral view the Volcker rule </w:t>
      </w:r>
      <w:r w:rsidR="004E1FF5">
        <w:rPr>
          <w:rFonts w:cstheme="minorHAnsi"/>
          <w:sz w:val="20"/>
          <w:szCs w:val="20"/>
        </w:rPr>
        <w:t xml:space="preserve">seem to have </w:t>
      </w:r>
      <w:r>
        <w:rPr>
          <w:rFonts w:cstheme="minorHAnsi"/>
          <w:sz w:val="20"/>
          <w:szCs w:val="20"/>
        </w:rPr>
        <w:t>had</w:t>
      </w:r>
      <w:r w:rsidR="00CB5F7A" w:rsidRPr="00EF21E4">
        <w:rPr>
          <w:rFonts w:cstheme="minorHAnsi"/>
          <w:sz w:val="20"/>
          <w:szCs w:val="20"/>
        </w:rPr>
        <w:t xml:space="preserve"> no significant effect </w:t>
      </w:r>
      <w:r w:rsidR="004E1FF5">
        <w:rPr>
          <w:rFonts w:cstheme="minorHAnsi"/>
          <w:sz w:val="20"/>
          <w:szCs w:val="20"/>
        </w:rPr>
        <w:t xml:space="preserve">on </w:t>
      </w:r>
      <w:r w:rsidR="00CB5F7A" w:rsidRPr="00EF21E4">
        <w:rPr>
          <w:rFonts w:cstheme="minorHAnsi"/>
          <w:sz w:val="20"/>
          <w:szCs w:val="20"/>
        </w:rPr>
        <w:t>trading assets</w:t>
      </w:r>
      <w:r>
        <w:rPr>
          <w:rFonts w:cstheme="minorHAnsi"/>
          <w:sz w:val="20"/>
          <w:szCs w:val="20"/>
        </w:rPr>
        <w:t xml:space="preserve"> ratios</w:t>
      </w:r>
      <w:r w:rsidR="00CB5F7A" w:rsidRPr="00EF21E4">
        <w:rPr>
          <w:rFonts w:cstheme="minorHAnsi"/>
          <w:sz w:val="20"/>
          <w:szCs w:val="20"/>
        </w:rPr>
        <w:t xml:space="preserve"> – this </w:t>
      </w:r>
      <w:r>
        <w:rPr>
          <w:rFonts w:cstheme="minorHAnsi"/>
          <w:sz w:val="20"/>
          <w:szCs w:val="20"/>
        </w:rPr>
        <w:t xml:space="preserve">was drawn due to the fact </w:t>
      </w:r>
      <w:r w:rsidR="004E1FF5">
        <w:rPr>
          <w:rFonts w:cstheme="minorHAnsi"/>
          <w:sz w:val="20"/>
          <w:szCs w:val="20"/>
        </w:rPr>
        <w:t>that</w:t>
      </w:r>
      <w:r w:rsidR="00CB5F7A" w:rsidRPr="00EF21E4">
        <w:rPr>
          <w:rFonts w:cstheme="minorHAnsi"/>
          <w:sz w:val="20"/>
          <w:szCs w:val="20"/>
        </w:rPr>
        <w:t xml:space="preserve"> Model 1a </w:t>
      </w:r>
      <w:r w:rsidR="004E1FF5">
        <w:rPr>
          <w:rFonts w:cstheme="minorHAnsi"/>
          <w:sz w:val="20"/>
          <w:szCs w:val="20"/>
        </w:rPr>
        <w:t xml:space="preserve">had a small positive </w:t>
      </w:r>
      <w:r w:rsidR="00CB5F7A" w:rsidRPr="00EF21E4">
        <w:rPr>
          <w:rFonts w:cstheme="minorHAnsi"/>
          <w:sz w:val="20"/>
          <w:szCs w:val="20"/>
        </w:rPr>
        <w:t xml:space="preserve">coefficient </w:t>
      </w:r>
      <w:r w:rsidR="004E1FF5">
        <w:rPr>
          <w:rFonts w:cstheme="minorHAnsi"/>
          <w:sz w:val="20"/>
          <w:szCs w:val="20"/>
        </w:rPr>
        <w:t xml:space="preserve">(the </w:t>
      </w:r>
      <w:r w:rsidR="00CB5F7A" w:rsidRPr="00EF21E4">
        <w:rPr>
          <w:rFonts w:cstheme="minorHAnsi"/>
          <w:sz w:val="20"/>
          <w:szCs w:val="20"/>
        </w:rPr>
        <w:t xml:space="preserve">sign </w:t>
      </w:r>
      <w:r w:rsidR="004E1FF5">
        <w:rPr>
          <w:rFonts w:cstheme="minorHAnsi"/>
          <w:sz w:val="20"/>
          <w:szCs w:val="20"/>
        </w:rPr>
        <w:t xml:space="preserve">was </w:t>
      </w:r>
      <w:r w:rsidR="00CB5F7A" w:rsidRPr="00EF21E4">
        <w:rPr>
          <w:rFonts w:cstheme="minorHAnsi"/>
          <w:sz w:val="20"/>
          <w:szCs w:val="20"/>
        </w:rPr>
        <w:t xml:space="preserve">not as expected </w:t>
      </w:r>
      <w:r w:rsidR="004E1FF5">
        <w:rPr>
          <w:rFonts w:cstheme="minorHAnsi"/>
          <w:sz w:val="20"/>
          <w:szCs w:val="20"/>
        </w:rPr>
        <w:t>as it signifies that Volcker rule had no change in trading assets</w:t>
      </w:r>
      <w:r w:rsidR="00CB5F7A" w:rsidRPr="00EF21E4">
        <w:rPr>
          <w:rFonts w:cstheme="minorHAnsi"/>
          <w:sz w:val="20"/>
          <w:szCs w:val="20"/>
        </w:rPr>
        <w:t xml:space="preserve">). </w:t>
      </w:r>
    </w:p>
    <w:p w14:paraId="4D86C00E" w14:textId="77777777" w:rsidR="00CB5F7A" w:rsidRPr="00E543C2" w:rsidRDefault="00CB5F7A">
      <w:pPr>
        <w:rPr>
          <w:rFonts w:cstheme="minorHAnsi"/>
          <w:sz w:val="20"/>
          <w:szCs w:val="20"/>
        </w:rPr>
      </w:pPr>
    </w:p>
    <w:p w14:paraId="4582B6F9" w14:textId="77777777" w:rsidR="00D42674" w:rsidRPr="00E543C2" w:rsidRDefault="00CB5F7A">
      <w:pPr>
        <w:rPr>
          <w:rFonts w:cstheme="minorHAnsi"/>
          <w:sz w:val="20"/>
          <w:szCs w:val="20"/>
        </w:rPr>
      </w:pPr>
      <w:r w:rsidRPr="00E543C2">
        <w:rPr>
          <w:rFonts w:cstheme="minorHAnsi"/>
          <w:sz w:val="20"/>
          <w:szCs w:val="20"/>
        </w:rPr>
        <w:t xml:space="preserve">However after </w:t>
      </w:r>
      <w:r w:rsidR="004E1FF5">
        <w:rPr>
          <w:rFonts w:cstheme="minorHAnsi"/>
          <w:sz w:val="20"/>
          <w:szCs w:val="20"/>
        </w:rPr>
        <w:t>including</w:t>
      </w:r>
      <w:r w:rsidRPr="00E543C2">
        <w:rPr>
          <w:rFonts w:cstheme="minorHAnsi"/>
          <w:sz w:val="20"/>
          <w:szCs w:val="20"/>
        </w:rPr>
        <w:t xml:space="preserve"> control factors we see that there is a more </w:t>
      </w:r>
      <w:r w:rsidR="004E1FF5">
        <w:rPr>
          <w:rFonts w:cstheme="minorHAnsi"/>
          <w:sz w:val="20"/>
          <w:szCs w:val="20"/>
        </w:rPr>
        <w:t>realistic</w:t>
      </w:r>
      <w:r w:rsidRPr="00E543C2">
        <w:rPr>
          <w:rFonts w:cstheme="minorHAnsi"/>
          <w:sz w:val="20"/>
          <w:szCs w:val="20"/>
        </w:rPr>
        <w:t xml:space="preserve"> result</w:t>
      </w:r>
      <w:r w:rsidR="004E1FF5" w:rsidRPr="00E543C2">
        <w:rPr>
          <w:rFonts w:cstheme="minorHAnsi"/>
          <w:sz w:val="20"/>
          <w:szCs w:val="20"/>
        </w:rPr>
        <w:t>.(Model 1b indicates the negative coefficient)</w:t>
      </w:r>
      <w:r w:rsidR="004E1FF5">
        <w:rPr>
          <w:rFonts w:cstheme="minorHAnsi"/>
          <w:sz w:val="20"/>
          <w:szCs w:val="20"/>
        </w:rPr>
        <w:t>,</w:t>
      </w:r>
      <w:r w:rsidRPr="00E543C2">
        <w:rPr>
          <w:rFonts w:cstheme="minorHAnsi"/>
          <w:sz w:val="20"/>
          <w:szCs w:val="20"/>
        </w:rPr>
        <w:t xml:space="preserve"> indicat</w:t>
      </w:r>
      <w:r w:rsidR="004E1FF5">
        <w:rPr>
          <w:rFonts w:cstheme="minorHAnsi"/>
          <w:sz w:val="20"/>
          <w:szCs w:val="20"/>
        </w:rPr>
        <w:t>ing</w:t>
      </w:r>
      <w:r w:rsidRPr="00E543C2">
        <w:rPr>
          <w:rFonts w:cstheme="minorHAnsi"/>
          <w:sz w:val="20"/>
          <w:szCs w:val="20"/>
        </w:rPr>
        <w:t xml:space="preserve"> that banks did reduce their trading assets after the introduction of the new regulation</w:t>
      </w:r>
      <w:r w:rsidR="004E1FF5">
        <w:rPr>
          <w:rFonts w:cstheme="minorHAnsi"/>
          <w:sz w:val="20"/>
          <w:szCs w:val="20"/>
        </w:rPr>
        <w:t>.</w:t>
      </w:r>
    </w:p>
    <w:p w14:paraId="42B238C9" w14:textId="77777777" w:rsidR="00D42674" w:rsidRPr="00E543C2" w:rsidRDefault="004E1FF5" w:rsidP="006C0E1E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7379B" wp14:editId="4D10CDFA">
                <wp:simplePos x="0" y="0"/>
                <wp:positionH relativeFrom="column">
                  <wp:posOffset>4009390</wp:posOffset>
                </wp:positionH>
                <wp:positionV relativeFrom="paragraph">
                  <wp:posOffset>492760</wp:posOffset>
                </wp:positionV>
                <wp:extent cx="974360" cy="356400"/>
                <wp:effectExtent l="38100" t="254000" r="16510" b="2533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4193">
                          <a:off x="0" y="0"/>
                          <a:ext cx="974360" cy="356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235C2" w14:textId="45B0D123" w:rsidR="004E1FF5" w:rsidRPr="004E1FF5" w:rsidRDefault="004E1FF5" w:rsidP="004E1FF5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1FF5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Sample you need to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7379B" id="Rectangle 3" o:spid="_x0000_s1026" style="position:absolute;left:0;text-align:left;margin-left:315.7pt;margin-top:38.8pt;width:76.7pt;height:28.05pt;rotation:-220179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" fillcolor="#ffc000" strokecolor="#1f3763 [1604]" strokeweight="1pt">
                <v:textbox>
                  <w:txbxContent>
                    <w:p w14:paraId="19D235C2" w14:textId="45B0D123" w:rsidR="004E1FF5" w:rsidRPr="004E1FF5" w:rsidRDefault="004E1FF5" w:rsidP="004E1FF5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4E1FF5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Sample you need to change</w:t>
                      </w:r>
                    </w:p>
                  </w:txbxContent>
                </v:textbox>
              </v:rect>
            </w:pict>
          </mc:Fallback>
        </mc:AlternateContent>
      </w:r>
      <w:r w:rsidR="006C0E1E" w:rsidRPr="00E543C2">
        <w:rPr>
          <w:rFonts w:cstheme="minorHAnsi"/>
          <w:noProof/>
          <w:sz w:val="20"/>
          <w:szCs w:val="20"/>
        </w:rPr>
        <w:drawing>
          <wp:inline distT="0" distB="0" distL="0" distR="0" wp14:anchorId="278E8AD4" wp14:editId="2270A283">
            <wp:extent cx="2633762" cy="132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27 at 9.58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059" cy="13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580D" w14:textId="77777777" w:rsidR="006C0E1E" w:rsidRPr="00E543C2" w:rsidRDefault="006C0E1E" w:rsidP="006C0E1E">
      <w:pPr>
        <w:jc w:val="center"/>
        <w:rPr>
          <w:rFonts w:cstheme="minorHAnsi"/>
          <w:sz w:val="20"/>
          <w:szCs w:val="20"/>
        </w:rPr>
      </w:pPr>
    </w:p>
    <w:p w14:paraId="14F3CD2E" w14:textId="77777777" w:rsidR="006C0E1E" w:rsidRPr="001A69F8" w:rsidRDefault="006C0E1E" w:rsidP="006C0E1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A69F8">
        <w:rPr>
          <w:rFonts w:cstheme="minorHAnsi"/>
          <w:b/>
          <w:bCs/>
          <w:sz w:val="20"/>
          <w:szCs w:val="20"/>
        </w:rPr>
        <w:t xml:space="preserve">If they responded to the regulation, which banks responded most and which banks least? </w:t>
      </w:r>
    </w:p>
    <w:p w14:paraId="68132B1C" w14:textId="77777777" w:rsidR="006C0E1E" w:rsidRPr="001A69F8" w:rsidRDefault="006C0E1E" w:rsidP="006C0E1E">
      <w:pPr>
        <w:rPr>
          <w:rFonts w:cstheme="minorHAnsi"/>
          <w:b/>
          <w:bCs/>
          <w:sz w:val="20"/>
          <w:szCs w:val="20"/>
        </w:rPr>
      </w:pPr>
      <w:r w:rsidRPr="001A69F8">
        <w:rPr>
          <w:rFonts w:cstheme="minorHAnsi"/>
          <w:b/>
          <w:bCs/>
          <w:sz w:val="20"/>
          <w:szCs w:val="20"/>
        </w:rPr>
        <w:t xml:space="preserve">Why? </w:t>
      </w:r>
    </w:p>
    <w:p w14:paraId="4269C35D" w14:textId="77777777" w:rsidR="006C0E1E" w:rsidRPr="00E543C2" w:rsidRDefault="006C0E1E" w:rsidP="006C0E1E">
      <w:pPr>
        <w:rPr>
          <w:rFonts w:cstheme="minorHAnsi"/>
          <w:sz w:val="20"/>
          <w:szCs w:val="20"/>
        </w:rPr>
      </w:pPr>
    </w:p>
    <w:p w14:paraId="6E7899BA" w14:textId="35D4CCFA" w:rsidR="00D42674" w:rsidRPr="00E543C2" w:rsidRDefault="006C0E1E">
      <w:pPr>
        <w:rPr>
          <w:rFonts w:cstheme="minorHAnsi"/>
          <w:sz w:val="20"/>
          <w:szCs w:val="20"/>
        </w:rPr>
      </w:pPr>
      <w:r w:rsidRPr="00E543C2">
        <w:rPr>
          <w:rFonts w:cstheme="minorHAnsi"/>
          <w:sz w:val="20"/>
          <w:szCs w:val="20"/>
        </w:rPr>
        <w:t xml:space="preserve">Since we know that the Volcker rule has had some effect on </w:t>
      </w:r>
      <w:r w:rsidR="004E1FF5">
        <w:rPr>
          <w:rFonts w:cstheme="minorHAnsi"/>
          <w:sz w:val="20"/>
          <w:szCs w:val="20"/>
        </w:rPr>
        <w:t xml:space="preserve">the </w:t>
      </w:r>
      <w:r w:rsidRPr="00E543C2">
        <w:rPr>
          <w:rFonts w:cstheme="minorHAnsi"/>
          <w:sz w:val="20"/>
          <w:szCs w:val="20"/>
        </w:rPr>
        <w:t>trading assets of</w:t>
      </w:r>
      <w:r w:rsidR="00981D3E" w:rsidRPr="00E543C2">
        <w:rPr>
          <w:rFonts w:cstheme="minorHAnsi"/>
          <w:sz w:val="20"/>
          <w:szCs w:val="20"/>
        </w:rPr>
        <w:t xml:space="preserve"> BHCs</w:t>
      </w:r>
      <w:r w:rsidRPr="00E543C2">
        <w:rPr>
          <w:rFonts w:cstheme="minorHAnsi"/>
          <w:sz w:val="20"/>
          <w:szCs w:val="20"/>
        </w:rPr>
        <w:t xml:space="preserve"> </w:t>
      </w:r>
      <w:r w:rsidR="004E1FF5">
        <w:rPr>
          <w:rFonts w:cstheme="minorHAnsi"/>
          <w:sz w:val="20"/>
          <w:szCs w:val="20"/>
        </w:rPr>
        <w:t xml:space="preserve">- </w:t>
      </w:r>
      <w:r w:rsidRPr="00E543C2">
        <w:rPr>
          <w:rFonts w:cstheme="minorHAnsi"/>
          <w:sz w:val="20"/>
          <w:szCs w:val="20"/>
        </w:rPr>
        <w:t xml:space="preserve">we decided to further understand why this effect was not as </w:t>
      </w:r>
      <w:r w:rsidR="001808B0" w:rsidRPr="00E543C2">
        <w:rPr>
          <w:rFonts w:cstheme="minorHAnsi"/>
          <w:sz w:val="20"/>
          <w:szCs w:val="20"/>
        </w:rPr>
        <w:t>pronounced as expected</w:t>
      </w:r>
      <w:r w:rsidR="00981D3E" w:rsidRPr="00E543C2">
        <w:rPr>
          <w:rFonts w:cstheme="minorHAnsi"/>
          <w:sz w:val="20"/>
          <w:szCs w:val="20"/>
        </w:rPr>
        <w:t xml:space="preserve"> </w:t>
      </w:r>
      <w:r w:rsidR="004E1FF5">
        <w:rPr>
          <w:rFonts w:cstheme="minorHAnsi"/>
          <w:sz w:val="20"/>
          <w:szCs w:val="20"/>
        </w:rPr>
        <w:t>(</w:t>
      </w:r>
      <w:proofErr w:type="spellStart"/>
      <w:r w:rsidR="004E1FF5">
        <w:rPr>
          <w:rFonts w:cstheme="minorHAnsi"/>
          <w:sz w:val="20"/>
          <w:szCs w:val="20"/>
        </w:rPr>
        <w:t>interms</w:t>
      </w:r>
      <w:proofErr w:type="spellEnd"/>
      <w:r w:rsidR="004E1FF5">
        <w:rPr>
          <w:rFonts w:cstheme="minorHAnsi"/>
          <w:sz w:val="20"/>
          <w:szCs w:val="20"/>
        </w:rPr>
        <w:t xml:space="preserve"> of magnitude of coefficient in Model 1b) </w:t>
      </w:r>
      <w:r w:rsidR="00981D3E" w:rsidRPr="00E543C2">
        <w:rPr>
          <w:rFonts w:cstheme="minorHAnsi"/>
          <w:sz w:val="20"/>
          <w:szCs w:val="20"/>
        </w:rPr>
        <w:t>and who it affected the most</w:t>
      </w:r>
      <w:r w:rsidR="001808B0" w:rsidRPr="00E543C2">
        <w:rPr>
          <w:rFonts w:cstheme="minorHAnsi"/>
          <w:sz w:val="20"/>
          <w:szCs w:val="20"/>
        </w:rPr>
        <w:t>.</w:t>
      </w:r>
    </w:p>
    <w:p w14:paraId="23AE77B2" w14:textId="77777777" w:rsidR="001808B0" w:rsidRPr="00E543C2" w:rsidRDefault="001808B0">
      <w:pPr>
        <w:rPr>
          <w:rFonts w:cstheme="minorHAnsi"/>
          <w:sz w:val="20"/>
          <w:szCs w:val="20"/>
        </w:rPr>
      </w:pPr>
    </w:p>
    <w:p w14:paraId="7732BCB4" w14:textId="77777777" w:rsidR="002A3FF6" w:rsidRPr="00E543C2" w:rsidRDefault="001808B0">
      <w:pPr>
        <w:rPr>
          <w:rFonts w:cstheme="minorHAnsi"/>
          <w:sz w:val="20"/>
          <w:szCs w:val="20"/>
        </w:rPr>
      </w:pPr>
      <w:r w:rsidRPr="00E543C2">
        <w:rPr>
          <w:rFonts w:cstheme="minorHAnsi"/>
          <w:sz w:val="20"/>
          <w:szCs w:val="20"/>
        </w:rPr>
        <w:t xml:space="preserve">Most BHCs </w:t>
      </w:r>
      <w:r w:rsidR="00981D3E" w:rsidRPr="00E543C2">
        <w:rPr>
          <w:rFonts w:cstheme="minorHAnsi"/>
          <w:sz w:val="20"/>
          <w:szCs w:val="20"/>
        </w:rPr>
        <w:t>had 0 or in</w:t>
      </w:r>
      <w:r w:rsidRPr="00E543C2">
        <w:rPr>
          <w:rFonts w:cstheme="minorHAnsi"/>
          <w:sz w:val="20"/>
          <w:szCs w:val="20"/>
        </w:rPr>
        <w:t xml:space="preserve">significant trading asset ratio </w:t>
      </w:r>
      <w:r w:rsidR="00981D3E" w:rsidRPr="00E543C2">
        <w:rPr>
          <w:rFonts w:cstheme="minorHAnsi"/>
          <w:sz w:val="20"/>
          <w:szCs w:val="20"/>
        </w:rPr>
        <w:t xml:space="preserve">however there were few companies that had significant </w:t>
      </w:r>
      <w:r w:rsidR="002A3FF6" w:rsidRPr="00E543C2">
        <w:rPr>
          <w:rFonts w:cstheme="minorHAnsi"/>
          <w:sz w:val="20"/>
          <w:szCs w:val="20"/>
        </w:rPr>
        <w:t>trading asset ratios.</w:t>
      </w:r>
    </w:p>
    <w:p w14:paraId="707E4BCF" w14:textId="2B82BF66" w:rsidR="002A3FF6" w:rsidRDefault="002A3FF6">
      <w:pPr>
        <w:rPr>
          <w:rFonts w:cstheme="minorHAnsi"/>
          <w:sz w:val="20"/>
          <w:szCs w:val="20"/>
        </w:rPr>
      </w:pPr>
    </w:p>
    <w:p w14:paraId="39F6AFA1" w14:textId="265C2807" w:rsidR="004E1FF5" w:rsidRDefault="004E1FF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9296" wp14:editId="7AB8F534">
                <wp:simplePos x="0" y="0"/>
                <wp:positionH relativeFrom="column">
                  <wp:posOffset>2031167</wp:posOffset>
                </wp:positionH>
                <wp:positionV relativeFrom="paragraph">
                  <wp:posOffset>76191</wp:posOffset>
                </wp:positionV>
                <wp:extent cx="974360" cy="359140"/>
                <wp:effectExtent l="38100" t="254000" r="16510" b="2508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4193">
                          <a:off x="0" y="0"/>
                          <a:ext cx="974360" cy="3591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8003A" w14:textId="2FEEC108" w:rsidR="004E1FF5" w:rsidRPr="004E1FF5" w:rsidRDefault="004E1FF5" w:rsidP="004E1FF5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Insert Pie chart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9296" id="Rectangle 4" o:spid="_x0000_s1027" style="position:absolute;margin-left:159.95pt;margin-top:6pt;width:76.7pt;height:28.3pt;rotation:-220179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" fillcolor="#ffc000" strokecolor="#1f3763 [1604]" strokeweight="1pt">
                <v:textbox>
                  <w:txbxContent>
                    <w:p w14:paraId="4208003A" w14:textId="2FEEC108" w:rsidR="004E1FF5" w:rsidRPr="004E1FF5" w:rsidRDefault="004E1FF5" w:rsidP="004E1FF5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Insert Pie chart </w:t>
                      </w:r>
                    </w:p>
                  </w:txbxContent>
                </v:textbox>
              </v:rect>
            </w:pict>
          </mc:Fallback>
        </mc:AlternateContent>
      </w:r>
    </w:p>
    <w:p w14:paraId="261C887D" w14:textId="77292F24" w:rsidR="004E1FF5" w:rsidRDefault="004E1FF5">
      <w:pPr>
        <w:rPr>
          <w:rFonts w:cstheme="minorHAnsi"/>
          <w:sz w:val="20"/>
          <w:szCs w:val="20"/>
        </w:rPr>
      </w:pPr>
    </w:p>
    <w:p w14:paraId="16632121" w14:textId="67D55580" w:rsidR="004E1FF5" w:rsidRDefault="004E1FF5">
      <w:pPr>
        <w:rPr>
          <w:rFonts w:cstheme="minorHAnsi"/>
          <w:sz w:val="20"/>
          <w:szCs w:val="20"/>
        </w:rPr>
      </w:pPr>
    </w:p>
    <w:p w14:paraId="7259D3D6" w14:textId="75702685" w:rsidR="004E1FF5" w:rsidRDefault="004E1FF5">
      <w:pPr>
        <w:rPr>
          <w:rFonts w:cstheme="minorHAnsi"/>
          <w:sz w:val="20"/>
          <w:szCs w:val="20"/>
        </w:rPr>
      </w:pPr>
    </w:p>
    <w:p w14:paraId="6A82BB9E" w14:textId="34648D9E" w:rsidR="004E1FF5" w:rsidRDefault="004E1FF5">
      <w:pPr>
        <w:rPr>
          <w:rFonts w:cstheme="minorHAnsi"/>
          <w:sz w:val="20"/>
          <w:szCs w:val="20"/>
        </w:rPr>
      </w:pPr>
    </w:p>
    <w:p w14:paraId="1099AB7C" w14:textId="09BBEFBA" w:rsidR="004E1FF5" w:rsidRDefault="004E1F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With this understanding </w:t>
      </w:r>
      <w:r w:rsidR="005F7F5F">
        <w:rPr>
          <w:rFonts w:cstheme="minorHAnsi"/>
          <w:sz w:val="20"/>
          <w:szCs w:val="20"/>
        </w:rPr>
        <w:t xml:space="preserve">a few features were engineered </w:t>
      </w:r>
    </w:p>
    <w:p w14:paraId="09E86740" w14:textId="1B00A5C3" w:rsidR="005F7F5F" w:rsidRDefault="005F7F5F" w:rsidP="005F7F5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Affect - </w:t>
      </w:r>
      <w:r w:rsidRPr="00E543C2">
        <w:rPr>
          <w:rFonts w:cstheme="minorHAnsi"/>
          <w:sz w:val="20"/>
          <w:szCs w:val="20"/>
        </w:rPr>
        <w:t>Pre-DFA average Trading ratios</w:t>
      </w:r>
    </w:p>
    <w:p w14:paraId="02E3F0A7" w14:textId="59D749A5" w:rsidR="005F7F5F" w:rsidRPr="005F7F5F" w:rsidRDefault="005F7F5F" w:rsidP="005F7F5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Interaction Variable between </w:t>
      </w:r>
      <w:proofErr w:type="spellStart"/>
      <w:r>
        <w:rPr>
          <w:rFonts w:cstheme="minorHAnsi"/>
          <w:sz w:val="20"/>
          <w:szCs w:val="20"/>
        </w:rPr>
        <w:t>DFA_Flag</w:t>
      </w:r>
      <w:proofErr w:type="spellEnd"/>
      <w:r>
        <w:rPr>
          <w:rFonts w:cstheme="minorHAnsi"/>
          <w:sz w:val="20"/>
          <w:szCs w:val="20"/>
        </w:rPr>
        <w:t xml:space="preserve"> and Affect </w:t>
      </w:r>
    </w:p>
    <w:p w14:paraId="3232E45A" w14:textId="691487E2" w:rsidR="004E1FF5" w:rsidRDefault="004E1FF5">
      <w:pPr>
        <w:rPr>
          <w:rFonts w:cstheme="minorHAnsi"/>
          <w:sz w:val="20"/>
          <w:szCs w:val="20"/>
        </w:rPr>
      </w:pPr>
    </w:p>
    <w:p w14:paraId="19990C0E" w14:textId="0751EDC9" w:rsidR="009B6A01" w:rsidRDefault="009B6A01">
      <w:pPr>
        <w:rPr>
          <w:rFonts w:cstheme="minorHAnsi"/>
          <w:sz w:val="20"/>
          <w:szCs w:val="20"/>
        </w:rPr>
      </w:pPr>
      <w:r w:rsidRPr="00E543C2">
        <w:rPr>
          <w:rFonts w:cstheme="minorHAnsi"/>
          <w:sz w:val="20"/>
          <w:szCs w:val="20"/>
        </w:rPr>
        <w:t xml:space="preserve">Model </w:t>
      </w:r>
      <w:r w:rsidR="005F7F5F">
        <w:rPr>
          <w:rFonts w:cstheme="minorHAnsi"/>
          <w:sz w:val="20"/>
          <w:szCs w:val="20"/>
        </w:rPr>
        <w:t>2a</w:t>
      </w:r>
      <w:r w:rsidRPr="00E543C2">
        <w:rPr>
          <w:rFonts w:cstheme="minorHAnsi"/>
          <w:sz w:val="20"/>
          <w:szCs w:val="20"/>
        </w:rPr>
        <w:t xml:space="preserve"> – the Interaction Variable </w:t>
      </w:r>
      <w:r w:rsidR="005F7F5F">
        <w:rPr>
          <w:rFonts w:cstheme="minorHAnsi"/>
          <w:sz w:val="20"/>
          <w:szCs w:val="20"/>
        </w:rPr>
        <w:t>created showed a negative</w:t>
      </w:r>
      <w:r w:rsidRPr="00E543C2">
        <w:rPr>
          <w:rFonts w:cstheme="minorHAnsi"/>
          <w:sz w:val="20"/>
          <w:szCs w:val="20"/>
        </w:rPr>
        <w:t xml:space="preserve"> significant coefficient</w:t>
      </w:r>
      <w:r w:rsidR="005F7F5F">
        <w:rPr>
          <w:rFonts w:cstheme="minorHAnsi"/>
          <w:sz w:val="20"/>
          <w:szCs w:val="20"/>
        </w:rPr>
        <w:t xml:space="preserve"> </w:t>
      </w:r>
      <w:r w:rsidRPr="00E543C2">
        <w:rPr>
          <w:rFonts w:cstheme="minorHAnsi"/>
          <w:sz w:val="20"/>
          <w:szCs w:val="20"/>
        </w:rPr>
        <w:t>in the Linear model</w:t>
      </w:r>
      <w:r w:rsidR="005F7F5F">
        <w:rPr>
          <w:rFonts w:cstheme="minorHAnsi"/>
          <w:sz w:val="20"/>
          <w:szCs w:val="20"/>
        </w:rPr>
        <w:t xml:space="preserve"> that was built with</w:t>
      </w:r>
      <w:r w:rsidRPr="00E543C2">
        <w:rPr>
          <w:rFonts w:cstheme="minorHAnsi"/>
          <w:sz w:val="20"/>
          <w:szCs w:val="20"/>
        </w:rPr>
        <w:t xml:space="preserve"> control Variables</w:t>
      </w:r>
      <w:r w:rsidR="005F7F5F">
        <w:rPr>
          <w:rFonts w:cstheme="minorHAnsi"/>
          <w:sz w:val="20"/>
          <w:szCs w:val="20"/>
        </w:rPr>
        <w:t xml:space="preserve"> considered</w:t>
      </w:r>
      <w:r w:rsidRPr="00E543C2">
        <w:rPr>
          <w:rFonts w:cstheme="minorHAnsi"/>
          <w:sz w:val="20"/>
          <w:szCs w:val="20"/>
        </w:rPr>
        <w:t xml:space="preserve">, Model </w:t>
      </w:r>
      <w:r w:rsidR="005F7F5F">
        <w:rPr>
          <w:rFonts w:cstheme="minorHAnsi"/>
          <w:sz w:val="20"/>
          <w:szCs w:val="20"/>
        </w:rPr>
        <w:t>2b</w:t>
      </w:r>
      <w:r w:rsidRPr="00E543C2">
        <w:rPr>
          <w:rFonts w:cstheme="minorHAnsi"/>
          <w:sz w:val="20"/>
          <w:szCs w:val="20"/>
        </w:rPr>
        <w:t xml:space="preserve"> further improves</w:t>
      </w:r>
      <w:r w:rsidR="005F7F5F">
        <w:rPr>
          <w:rFonts w:cstheme="minorHAnsi"/>
          <w:sz w:val="20"/>
          <w:szCs w:val="20"/>
        </w:rPr>
        <w:t xml:space="preserve"> our understanding</w:t>
      </w:r>
      <w:r w:rsidRPr="00E543C2">
        <w:rPr>
          <w:rFonts w:cstheme="minorHAnsi"/>
          <w:sz w:val="20"/>
          <w:szCs w:val="20"/>
        </w:rPr>
        <w:t xml:space="preserve"> </w:t>
      </w:r>
      <w:r w:rsidR="005F7F5F">
        <w:rPr>
          <w:rFonts w:cstheme="minorHAnsi"/>
          <w:sz w:val="20"/>
          <w:szCs w:val="20"/>
        </w:rPr>
        <w:t>of the importance of the interaction variable</w:t>
      </w:r>
      <w:r w:rsidRPr="00E543C2">
        <w:rPr>
          <w:rFonts w:cstheme="minorHAnsi"/>
          <w:sz w:val="20"/>
          <w:szCs w:val="20"/>
        </w:rPr>
        <w:t xml:space="preserve"> with the addition of the Fixed Effects.</w:t>
      </w:r>
      <w:r w:rsidR="005F7F5F">
        <w:rPr>
          <w:rFonts w:cstheme="minorHAnsi"/>
          <w:sz w:val="20"/>
          <w:szCs w:val="20"/>
        </w:rPr>
        <w:t xml:space="preserve"> This proved that banks were affected by DFA regulations.</w:t>
      </w:r>
    </w:p>
    <w:p w14:paraId="6D1BF456" w14:textId="6479698C" w:rsidR="005F7F5F" w:rsidRDefault="005F7F5F">
      <w:pPr>
        <w:rPr>
          <w:rFonts w:cstheme="minorHAnsi"/>
          <w:sz w:val="20"/>
          <w:szCs w:val="20"/>
        </w:rPr>
      </w:pPr>
    </w:p>
    <w:p w14:paraId="2C63B2E6" w14:textId="6BE1B901" w:rsidR="009B6A01" w:rsidRDefault="005F7F5F" w:rsidP="0037010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Since we know that most companies had negligible Trading asset ratios</w:t>
      </w:r>
      <w:r w:rsidR="0037010F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we tried to categories the BHCs into those who would be affected by the Volcker rule </w:t>
      </w:r>
      <w:r w:rsidR="0037010F">
        <w:rPr>
          <w:rFonts w:cstheme="minorHAnsi"/>
          <w:sz w:val="20"/>
          <w:szCs w:val="20"/>
        </w:rPr>
        <w:t xml:space="preserve">and others </w:t>
      </w:r>
      <w:r>
        <w:rPr>
          <w:rFonts w:cstheme="minorHAnsi"/>
          <w:sz w:val="20"/>
          <w:szCs w:val="20"/>
        </w:rPr>
        <w:t>– A 3% cap on</w:t>
      </w:r>
      <w:r w:rsidR="0037010F">
        <w:rPr>
          <w:rFonts w:cstheme="minorHAnsi"/>
          <w:sz w:val="20"/>
          <w:szCs w:val="20"/>
        </w:rPr>
        <w:t xml:space="preserve"> </w:t>
      </w:r>
      <w:r w:rsidR="0037010F">
        <w:rPr>
          <w:rFonts w:cstheme="minorHAnsi"/>
          <w:sz w:val="20"/>
          <w:szCs w:val="20"/>
        </w:rPr>
        <w:t>pre DFA</w:t>
      </w:r>
      <w:r>
        <w:rPr>
          <w:rFonts w:cstheme="minorHAnsi"/>
          <w:sz w:val="20"/>
          <w:szCs w:val="20"/>
        </w:rPr>
        <w:t xml:space="preserve"> trading asset ratios seemed to </w:t>
      </w:r>
      <w:r w:rsidR="0037010F">
        <w:rPr>
          <w:rFonts w:cstheme="minorHAnsi"/>
          <w:sz w:val="20"/>
          <w:szCs w:val="20"/>
        </w:rPr>
        <w:t xml:space="preserve">have </w:t>
      </w:r>
      <w:r>
        <w:rPr>
          <w:rFonts w:cstheme="minorHAnsi"/>
          <w:sz w:val="20"/>
          <w:szCs w:val="20"/>
        </w:rPr>
        <w:t>be</w:t>
      </w:r>
      <w:r w:rsidR="0037010F">
        <w:rPr>
          <w:rFonts w:cstheme="minorHAnsi"/>
          <w:sz w:val="20"/>
          <w:szCs w:val="20"/>
        </w:rPr>
        <w:t>en</w:t>
      </w:r>
      <w:r>
        <w:rPr>
          <w:rFonts w:cstheme="minorHAnsi"/>
          <w:sz w:val="20"/>
          <w:szCs w:val="20"/>
        </w:rPr>
        <w:t xml:space="preserve"> a </w:t>
      </w:r>
      <w:r w:rsidR="0037010F">
        <w:rPr>
          <w:rFonts w:cstheme="minorHAnsi"/>
          <w:sz w:val="20"/>
          <w:szCs w:val="20"/>
        </w:rPr>
        <w:t>good cut off</w:t>
      </w:r>
      <w:r>
        <w:rPr>
          <w:rFonts w:cstheme="minorHAnsi"/>
          <w:sz w:val="20"/>
          <w:szCs w:val="20"/>
        </w:rPr>
        <w:t xml:space="preserve"> </w:t>
      </w:r>
      <w:r w:rsidR="0037010F">
        <w:rPr>
          <w:rFonts w:cstheme="minorHAnsi"/>
          <w:sz w:val="20"/>
          <w:szCs w:val="20"/>
        </w:rPr>
        <w:t xml:space="preserve">for this. </w:t>
      </w:r>
    </w:p>
    <w:p w14:paraId="643C39CC" w14:textId="758231F4" w:rsidR="0037010F" w:rsidRDefault="0037010F" w:rsidP="0037010F">
      <w:pPr>
        <w:rPr>
          <w:rFonts w:cstheme="minorHAnsi"/>
          <w:sz w:val="20"/>
          <w:szCs w:val="20"/>
        </w:rPr>
      </w:pPr>
    </w:p>
    <w:p w14:paraId="1EC35E98" w14:textId="5C17B10B" w:rsidR="0037010F" w:rsidRPr="00E543C2" w:rsidRDefault="0037010F" w:rsidP="0037010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summation most banks had low trading ratios and hence didn’t have a significant reaction to Volcker rule but those that had their business geared towards trading and others now banned by the Volcker rule did have a decrease in trading asset ratios (these BHCs were defined as those with </w:t>
      </w:r>
      <w:r w:rsidR="001A69F8">
        <w:rPr>
          <w:rFonts w:cstheme="minorHAnsi"/>
          <w:sz w:val="20"/>
          <w:szCs w:val="20"/>
        </w:rPr>
        <w:t xml:space="preserve">Pre-DFA </w:t>
      </w:r>
      <w:r>
        <w:rPr>
          <w:rFonts w:cstheme="minorHAnsi"/>
          <w:sz w:val="20"/>
          <w:szCs w:val="20"/>
        </w:rPr>
        <w:t>Trading Asset Ratios</w:t>
      </w:r>
      <w:r w:rsidR="001A69F8">
        <w:rPr>
          <w:rFonts w:cstheme="minorHAnsi"/>
          <w:sz w:val="20"/>
          <w:szCs w:val="20"/>
        </w:rPr>
        <w:t xml:space="preserve"> &gt; 3%)</w:t>
      </w:r>
    </w:p>
    <w:p w14:paraId="07D2FE18" w14:textId="77777777" w:rsidR="009B6A01" w:rsidRPr="00E543C2" w:rsidRDefault="009B6A01">
      <w:pPr>
        <w:rPr>
          <w:rFonts w:cstheme="minorHAnsi"/>
          <w:sz w:val="20"/>
          <w:szCs w:val="20"/>
        </w:rPr>
      </w:pPr>
    </w:p>
    <w:p w14:paraId="446A9EB5" w14:textId="335E1004" w:rsidR="009B6A01" w:rsidRPr="00E543C2" w:rsidRDefault="0037010F" w:rsidP="009B6A01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942FF" wp14:editId="34FEFCF4">
                <wp:simplePos x="0" y="0"/>
                <wp:positionH relativeFrom="column">
                  <wp:posOffset>4249713</wp:posOffset>
                </wp:positionH>
                <wp:positionV relativeFrom="paragraph">
                  <wp:posOffset>560663</wp:posOffset>
                </wp:positionV>
                <wp:extent cx="974360" cy="356400"/>
                <wp:effectExtent l="38100" t="254000" r="16510" b="2533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4193">
                          <a:off x="0" y="0"/>
                          <a:ext cx="974360" cy="356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49CC2" w14:textId="77777777" w:rsidR="0037010F" w:rsidRPr="004E1FF5" w:rsidRDefault="0037010F" w:rsidP="0037010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1FF5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Sample you need to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42FF" id="Rectangle 5" o:spid="_x0000_s1028" style="position:absolute;left:0;text-align:left;margin-left:334.6pt;margin-top:44.15pt;width:76.7pt;height:28.05pt;rotation:-220179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" fillcolor="#ffc000" strokecolor="#1f3763 [1604]" strokeweight="1pt">
                <v:textbox>
                  <w:txbxContent>
                    <w:p w14:paraId="2B449CC2" w14:textId="77777777" w:rsidR="0037010F" w:rsidRPr="004E1FF5" w:rsidRDefault="0037010F" w:rsidP="0037010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4E1FF5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Sample you need to change</w:t>
                      </w:r>
                    </w:p>
                  </w:txbxContent>
                </v:textbox>
              </v:rect>
            </w:pict>
          </mc:Fallback>
        </mc:AlternateContent>
      </w:r>
      <w:r w:rsidR="009B6A01" w:rsidRPr="00E543C2">
        <w:rPr>
          <w:rFonts w:cstheme="minorHAnsi"/>
          <w:noProof/>
          <w:sz w:val="20"/>
          <w:szCs w:val="20"/>
        </w:rPr>
        <w:drawing>
          <wp:inline distT="0" distB="0" distL="0" distR="0" wp14:anchorId="02C28C35" wp14:editId="7C896D2C">
            <wp:extent cx="3776472" cy="1555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7 at 11.45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39" cy="15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643D" w14:textId="77777777" w:rsidR="009B6A01" w:rsidRPr="00E543C2" w:rsidRDefault="009B6A01">
      <w:pPr>
        <w:rPr>
          <w:rFonts w:cstheme="minorHAnsi"/>
          <w:sz w:val="20"/>
          <w:szCs w:val="20"/>
        </w:rPr>
      </w:pPr>
    </w:p>
    <w:p w14:paraId="71F899CE" w14:textId="6FAD535E" w:rsidR="001A69F8" w:rsidRPr="001A69F8" w:rsidRDefault="001A69F8" w:rsidP="001A69F8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A69F8">
        <w:rPr>
          <w:rFonts w:cstheme="minorHAnsi"/>
          <w:b/>
          <w:bCs/>
          <w:sz w:val="20"/>
          <w:szCs w:val="20"/>
        </w:rPr>
        <w:t xml:space="preserve">Remember robustness, and how should banks or regulators use these results? </w:t>
      </w:r>
    </w:p>
    <w:p w14:paraId="441A4D2F" w14:textId="5C78826C" w:rsidR="00D126A8" w:rsidRDefault="00D126A8">
      <w:pPr>
        <w:rPr>
          <w:rFonts w:cstheme="minorHAnsi"/>
          <w:sz w:val="20"/>
          <w:szCs w:val="20"/>
        </w:rPr>
      </w:pPr>
    </w:p>
    <w:p w14:paraId="163058F5" w14:textId="0CE8D22D" w:rsidR="001A69F8" w:rsidRDefault="000C57D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ensure that our results are in-fact inline we build robust models that considered control Variables and Fixed Affects into all of our models – However we did run further robustness checks </w:t>
      </w:r>
    </w:p>
    <w:p w14:paraId="5AD3B1B5" w14:textId="065550C9" w:rsidR="000C57D9" w:rsidRDefault="000C57D9">
      <w:pPr>
        <w:rPr>
          <w:rFonts w:cstheme="minorHAnsi"/>
          <w:sz w:val="20"/>
          <w:szCs w:val="20"/>
        </w:rPr>
      </w:pPr>
    </w:p>
    <w:p w14:paraId="1208F54E" w14:textId="5CB5A5CB" w:rsidR="000C57D9" w:rsidRDefault="000C57D9" w:rsidP="000C57D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Run a</w:t>
      </w:r>
      <w:r w:rsidR="00B6154C">
        <w:rPr>
          <w:rFonts w:cstheme="minorHAnsi"/>
          <w:sz w:val="20"/>
          <w:szCs w:val="20"/>
        </w:rPr>
        <w:t xml:space="preserve"> </w:t>
      </w:r>
      <w:proofErr w:type="spellStart"/>
      <w:r w:rsidR="00B6154C">
        <w:rPr>
          <w:rFonts w:cstheme="minorHAnsi"/>
          <w:sz w:val="20"/>
          <w:szCs w:val="20"/>
        </w:rPr>
        <w:t>DiD</w:t>
      </w:r>
      <w:proofErr w:type="spellEnd"/>
      <w:r>
        <w:rPr>
          <w:rFonts w:cstheme="minorHAnsi"/>
          <w:sz w:val="20"/>
          <w:szCs w:val="20"/>
        </w:rPr>
        <w:t xml:space="preserve"> model that</w:t>
      </w:r>
      <w:r w:rsidR="00B6154C">
        <w:rPr>
          <w:rFonts w:cstheme="minorHAnsi"/>
          <w:sz w:val="20"/>
          <w:szCs w:val="20"/>
        </w:rPr>
        <w:t xml:space="preserve"> considered only those BHCs that had Pre</w:t>
      </w:r>
      <w:r w:rsidR="00080144">
        <w:rPr>
          <w:rFonts w:cstheme="minorHAnsi"/>
          <w:sz w:val="20"/>
          <w:szCs w:val="20"/>
        </w:rPr>
        <w:t>-</w:t>
      </w:r>
      <w:r w:rsidR="00B6154C">
        <w:rPr>
          <w:rFonts w:cstheme="minorHAnsi"/>
          <w:sz w:val="20"/>
          <w:szCs w:val="20"/>
        </w:rPr>
        <w:t xml:space="preserve">DFA Trading ratios &gt;=3% as the Treatment group – the </w:t>
      </w:r>
      <w:r w:rsidR="00080144">
        <w:rPr>
          <w:rFonts w:cstheme="minorHAnsi"/>
          <w:sz w:val="20"/>
          <w:szCs w:val="20"/>
        </w:rPr>
        <w:t>coefficients</w:t>
      </w:r>
      <w:r w:rsidR="00B6154C">
        <w:rPr>
          <w:rFonts w:cstheme="minorHAnsi"/>
          <w:sz w:val="20"/>
          <w:szCs w:val="20"/>
        </w:rPr>
        <w:t xml:space="preserve"> of this model were still negative and significant </w:t>
      </w:r>
    </w:p>
    <w:p w14:paraId="457FFD84" w14:textId="6B84B236" w:rsidR="00B6154C" w:rsidRDefault="00B6154C" w:rsidP="00B6154C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Propensity matching for the treatment and Control group in the above model based on Q1 control variables so </w:t>
      </w:r>
      <w:proofErr w:type="spellStart"/>
      <w:r>
        <w:rPr>
          <w:rFonts w:cstheme="minorHAnsi"/>
          <w:sz w:val="20"/>
          <w:szCs w:val="20"/>
        </w:rPr>
        <w:t>DiD</w:t>
      </w:r>
      <w:proofErr w:type="spellEnd"/>
      <w:r>
        <w:rPr>
          <w:rFonts w:cstheme="minorHAnsi"/>
          <w:sz w:val="20"/>
          <w:szCs w:val="20"/>
        </w:rPr>
        <w:t xml:space="preserve"> is calculated using similar BHCs in control and treatment groups </w:t>
      </w:r>
      <w:r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which resulted in a</w:t>
      </w:r>
      <w:r>
        <w:rPr>
          <w:rFonts w:cstheme="minorHAnsi"/>
          <w:sz w:val="20"/>
          <w:szCs w:val="20"/>
        </w:rPr>
        <w:t xml:space="preserve"> </w:t>
      </w:r>
      <w:r w:rsidR="00080144">
        <w:rPr>
          <w:rFonts w:cstheme="minorHAnsi"/>
          <w:sz w:val="20"/>
          <w:szCs w:val="20"/>
        </w:rPr>
        <w:t>coefficient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that was </w:t>
      </w:r>
      <w:r>
        <w:rPr>
          <w:rFonts w:cstheme="minorHAnsi"/>
          <w:sz w:val="20"/>
          <w:szCs w:val="20"/>
        </w:rPr>
        <w:t>still negative and si</w:t>
      </w:r>
      <w:r>
        <w:rPr>
          <w:rFonts w:cstheme="minorHAnsi"/>
          <w:sz w:val="20"/>
          <w:szCs w:val="20"/>
        </w:rPr>
        <w:t>milar to above</w:t>
      </w:r>
    </w:p>
    <w:p w14:paraId="2160B318" w14:textId="77777777" w:rsidR="00B6154C" w:rsidRPr="00B6154C" w:rsidRDefault="00B6154C" w:rsidP="00B6154C">
      <w:pPr>
        <w:rPr>
          <w:rFonts w:cstheme="minorHAnsi"/>
          <w:sz w:val="20"/>
          <w:szCs w:val="20"/>
        </w:rPr>
      </w:pPr>
    </w:p>
    <w:p w14:paraId="5DAAE27C" w14:textId="5AB9C7CC" w:rsidR="00B6154C" w:rsidRDefault="00B6154C" w:rsidP="00B6154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above 2 results tested for the true affectedness of the Volcker rule based on Trading Asset Ratios however this can be disagreed by considering that banks may have all anyway considered a change in business models after the financial crisis, this was argued with the below tests:</w:t>
      </w:r>
    </w:p>
    <w:p w14:paraId="60A312A0" w14:textId="77777777" w:rsidR="00B6154C" w:rsidRDefault="00B6154C" w:rsidP="00B6154C">
      <w:pPr>
        <w:rPr>
          <w:rFonts w:cstheme="minorHAnsi"/>
          <w:sz w:val="20"/>
          <w:szCs w:val="20"/>
        </w:rPr>
      </w:pPr>
    </w:p>
    <w:p w14:paraId="2918E146" w14:textId="6C55A801" w:rsidR="00B6154C" w:rsidRDefault="00B6154C" w:rsidP="000C57D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Consider Pre 2007 ratios before the financial crisis – this showed similar results when compared to our model results</w:t>
      </w:r>
    </w:p>
    <w:p w14:paraId="61784827" w14:textId="624DB1BC" w:rsidR="00B6154C" w:rsidRDefault="00B6154C" w:rsidP="000C57D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Removed all BHCs with 0 trading asset ratios  - our results still held true </w:t>
      </w:r>
    </w:p>
    <w:p w14:paraId="59A87394" w14:textId="7417998B" w:rsidR="00B6154C" w:rsidRDefault="00B6154C" w:rsidP="00B6154C">
      <w:pPr>
        <w:rPr>
          <w:rFonts w:cstheme="minorHAnsi"/>
          <w:sz w:val="20"/>
          <w:szCs w:val="20"/>
        </w:rPr>
      </w:pPr>
    </w:p>
    <w:p w14:paraId="486A565E" w14:textId="1DC76AC9" w:rsidR="00B6154C" w:rsidRDefault="00B6154C" w:rsidP="00B6154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With the above tests we feel that we 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have a strong </w:t>
      </w:r>
      <w:r w:rsidR="00080144">
        <w:rPr>
          <w:rFonts w:cstheme="minorHAnsi"/>
          <w:sz w:val="20"/>
          <w:szCs w:val="20"/>
        </w:rPr>
        <w:t xml:space="preserve">robust result – that Volcker rule did negatively affect Trading Asset Ratios </w:t>
      </w:r>
    </w:p>
    <w:p w14:paraId="06586D73" w14:textId="096B92BF" w:rsidR="00080144" w:rsidRDefault="00080144" w:rsidP="00B6154C">
      <w:pPr>
        <w:rPr>
          <w:rFonts w:cstheme="minorHAnsi"/>
          <w:sz w:val="20"/>
          <w:szCs w:val="20"/>
        </w:rPr>
      </w:pPr>
    </w:p>
    <w:p w14:paraId="7EE9652D" w14:textId="77777777" w:rsidR="00080144" w:rsidRPr="00B6154C" w:rsidRDefault="00080144" w:rsidP="00B6154C">
      <w:pPr>
        <w:rPr>
          <w:rFonts w:cstheme="minorHAnsi"/>
          <w:sz w:val="20"/>
          <w:szCs w:val="20"/>
        </w:rPr>
      </w:pPr>
    </w:p>
    <w:sectPr w:rsidR="00080144" w:rsidRPr="00B6154C" w:rsidSect="00266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887"/>
    <w:multiLevelType w:val="hybridMultilevel"/>
    <w:tmpl w:val="8CFC0180"/>
    <w:lvl w:ilvl="0" w:tplc="BD807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F3BAE"/>
    <w:multiLevelType w:val="multilevel"/>
    <w:tmpl w:val="71C2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A4405"/>
    <w:multiLevelType w:val="multilevel"/>
    <w:tmpl w:val="6282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F3506"/>
    <w:multiLevelType w:val="hybridMultilevel"/>
    <w:tmpl w:val="EE82A984"/>
    <w:lvl w:ilvl="0" w:tplc="BD807D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6512AB"/>
    <w:multiLevelType w:val="hybridMultilevel"/>
    <w:tmpl w:val="2F6C99E0"/>
    <w:lvl w:ilvl="0" w:tplc="BD807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80AF5"/>
    <w:multiLevelType w:val="hybridMultilevel"/>
    <w:tmpl w:val="B53A2470"/>
    <w:lvl w:ilvl="0" w:tplc="43D820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32D1A"/>
    <w:multiLevelType w:val="multilevel"/>
    <w:tmpl w:val="120C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B624D0"/>
    <w:multiLevelType w:val="hybridMultilevel"/>
    <w:tmpl w:val="FF96C790"/>
    <w:lvl w:ilvl="0" w:tplc="BD807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7A"/>
    <w:rsid w:val="00080144"/>
    <w:rsid w:val="000C57D9"/>
    <w:rsid w:val="001808B0"/>
    <w:rsid w:val="001A69F8"/>
    <w:rsid w:val="002664C6"/>
    <w:rsid w:val="002929C0"/>
    <w:rsid w:val="002A3FF6"/>
    <w:rsid w:val="00324689"/>
    <w:rsid w:val="0037010F"/>
    <w:rsid w:val="004E1FF5"/>
    <w:rsid w:val="005F7F5F"/>
    <w:rsid w:val="006C0E1E"/>
    <w:rsid w:val="0080730F"/>
    <w:rsid w:val="00981D3E"/>
    <w:rsid w:val="009B6A01"/>
    <w:rsid w:val="00B6154C"/>
    <w:rsid w:val="00CB5F7A"/>
    <w:rsid w:val="00D00B15"/>
    <w:rsid w:val="00D126A8"/>
    <w:rsid w:val="00D42674"/>
    <w:rsid w:val="00E543C2"/>
    <w:rsid w:val="00E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0284"/>
  <w15:chartTrackingRefBased/>
  <w15:docId w15:val="{78557643-49A7-8E4B-A22C-EDFB6797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F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C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Mathai Thomas</dc:creator>
  <cp:keywords/>
  <dc:description/>
  <cp:lastModifiedBy>Nikhil Mathai Thomas</cp:lastModifiedBy>
  <cp:revision>7</cp:revision>
  <dcterms:created xsi:type="dcterms:W3CDTF">2019-10-27T13:35:00Z</dcterms:created>
  <dcterms:modified xsi:type="dcterms:W3CDTF">2019-10-30T03:14:00Z</dcterms:modified>
</cp:coreProperties>
</file>