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Times New Roman" w:hAnsi="Times New Roman" w:eastAsia="宋体"/>
          <w:b w:val="0"/>
          <w:sz w:val="24"/>
        </w:rPr>
        <w:t>项目编号：待补</w:t>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jc w:val="center"/>
      </w:pPr>
      <w:r>
        <w:rPr>
          <w:rFonts w:ascii="Times New Roman" w:hAnsi="Times New Roman" w:eastAsia="黑体"/>
          <w:b/>
          <w:sz w:val="36"/>
        </w:rPr>
        <w:t>自立科研项目验收报告</w:t>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8"/>
        </w:rPr>
        <w:t>项目名称：面向互联网基础资源的大模型多智能体协作与可信认知标识技术研究</w:t>
      </w:r>
    </w:p>
    <w:p>
      <w:pPr>
        <w:spacing w:line="360" w:lineRule="auto"/>
      </w:pPr>
      <w:r>
        <w:rPr>
          <w:rFonts w:ascii="Times New Roman" w:hAnsi="Times New Roman" w:eastAsia="宋体"/>
          <w:b w:val="0"/>
          <w:sz w:val="28"/>
        </w:rPr>
        <w:t>项目类型：重点项目</w:t>
      </w:r>
    </w:p>
    <w:p>
      <w:pPr>
        <w:spacing w:line="360" w:lineRule="auto"/>
      </w:pPr>
      <w:r>
        <w:rPr>
          <w:rFonts w:ascii="Times New Roman" w:hAnsi="Times New Roman" w:eastAsia="宋体"/>
          <w:b w:val="0"/>
          <w:sz w:val="28"/>
        </w:rPr>
        <w:t>承研处/所：技术发展所</w:t>
      </w:r>
    </w:p>
    <w:p>
      <w:pPr>
        <w:spacing w:line="360" w:lineRule="auto"/>
      </w:pPr>
      <w:r>
        <w:rPr>
          <w:rFonts w:ascii="Times New Roman" w:hAnsi="Times New Roman" w:eastAsia="宋体"/>
          <w:b w:val="0"/>
          <w:sz w:val="28"/>
        </w:rPr>
        <w:t>项目负责人：邓斯宇</w:t>
      </w:r>
    </w:p>
    <w:p>
      <w:pPr>
        <w:spacing w:line="360" w:lineRule="auto"/>
      </w:pPr>
      <w:r>
        <w:rPr>
          <w:rFonts w:ascii="Times New Roman" w:hAnsi="Times New Roman" w:eastAsia="宋体"/>
          <w:b w:val="0"/>
          <w:sz w:val="28"/>
        </w:rPr>
        <w:t>起止时间：2025年5月-2026年4月</w:t>
      </w:r>
    </w:p>
    <w:p>
      <w:pPr>
        <w:spacing w:line="360" w:lineRule="auto"/>
      </w:pPr>
      <w:r>
        <w:rPr>
          <w:rFonts w:ascii="Times New Roman" w:hAnsi="Times New Roman" w:eastAsia="宋体"/>
          <w:b w:val="0"/>
          <w:sz w:val="28"/>
        </w:rPr>
        <w:t>项目经费：10万元</w:t>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pPr>
      <w:r>
        <w:rPr>
          <w:rFonts w:ascii="Times New Roman" w:hAnsi="Times New Roman" w:eastAsia="宋体"/>
          <w:b w:val="0"/>
          <w:sz w:val="24"/>
        </w:rPr>
      </w:r>
    </w:p>
    <w:p>
      <w:pPr>
        <w:spacing w:line="360" w:lineRule="auto"/>
        <w:jc w:val="center"/>
      </w:pPr>
      <w:r>
        <w:rPr>
          <w:rFonts w:ascii="Times New Roman" w:hAnsi="Times New Roman" w:eastAsia="宋体"/>
          <w:b w:val="0"/>
          <w:sz w:val="24"/>
        </w:rPr>
        <w:t>填报日期  2026年5月26日</w:t>
      </w:r>
    </w:p>
    <w:p>
      <w:pPr>
        <w:spacing w:line="360" w:lineRule="auto"/>
        <w:jc w:val="center"/>
      </w:pPr>
      <w:r>
        <w:rPr>
          <w:rFonts w:ascii="Times New Roman" w:hAnsi="Times New Roman" w:eastAsia="宋体"/>
          <w:b w:val="0"/>
          <w:sz w:val="24"/>
        </w:rPr>
        <w:t>中国互联网络信息中心制</w:t>
      </w:r>
    </w:p>
    <w:p>
      <w:pPr>
        <w:spacing w:line="360" w:lineRule="auto"/>
      </w:pPr>
      <w:r>
        <w:rPr>
          <w:rFonts w:ascii="Times New Roman" w:hAnsi="Times New Roman" w:eastAsia="黑体"/>
          <w:b/>
          <w:sz w:val="28"/>
        </w:rPr>
        <w:t>一、项目概况</w:t>
      </w:r>
    </w:p>
    <w:p>
      <w:pPr>
        <w:spacing w:line="360" w:lineRule="auto"/>
        <w:ind w:firstLine="476"/>
      </w:pPr>
      <w:r>
        <w:rPr>
          <w:rFonts w:ascii="Times New Roman" w:hAnsi="Times New Roman" w:eastAsia="宋体"/>
          <w:b w:val="0"/>
          <w:sz w:val="24"/>
        </w:rPr>
        <w:t>本项目由中国互联网络信息中心技术发展所承担，实施周期为2025年5月至2026年4月，项目经费10万元，项目负责人为邓斯宇。项目面向互联网基础资源在智能体时代的新型支撑需求，围绕大模型多智能体协作、可信认知标识和可复核过程记录开展研究，重点解决智能体能力组织、自然语言请求到能力入口的结构化判断、复杂样本协作复核以及决策过程留痕等问题。</w:t>
      </w:r>
    </w:p>
    <w:p>
      <w:pPr>
        <w:spacing w:line="360" w:lineRule="auto"/>
        <w:ind w:firstLine="476"/>
      </w:pPr>
      <w:r>
        <w:rPr>
          <w:rFonts w:ascii="Times New Roman" w:hAnsi="Times New Roman" w:eastAsia="宋体"/>
          <w:b w:val="0"/>
          <w:sz w:val="24"/>
        </w:rPr>
        <w:t>根据任务书要求，项目拟基于大模型构建具备观点差异、可信标识与共识生成能力的多智能体协作研究框架，探索其在内容理解与任务决策中的结构范式与演化机制，为面向互联网基础资源场景的国产智能系统提供原型基础与方法支撑。项目实施中将“智能体能力命名与语义路由”作为典型验证任务，围绕能力命名空间、候选集合构造、单智能体结构化语义判别、多智能体职责化协作复核、显式授权改判、可信过程记录和执行实例映射开展研究。</w:t>
      </w:r>
    </w:p>
    <w:p>
      <w:pPr>
        <w:spacing w:line="360" w:lineRule="auto"/>
        <w:ind w:firstLine="476"/>
      </w:pPr>
      <w:r>
        <w:rPr>
          <w:rFonts w:ascii="Times New Roman" w:hAnsi="Times New Roman" w:eastAsia="宋体"/>
          <w:b w:val="0"/>
          <w:sz w:val="24"/>
        </w:rPr>
        <w:t>项目已形成50个能力节点、45类主标签、563条样本的统一评测资产，并冻结划分为训练集450条、测试集113条。项目形成了可运行原型系统、技术研究报告、论文稿、专利申请与技术交底材料、成果汇编、宣传稿和图表材料等结项支撑材料。报告中“命名”“地址”“发现”等表述均限定在智能体能力目录、逻辑地址、候选选择和执行实例映射范围内，不等同于生产级DNS解析系统或通用服务发现基础设施建设。</w:t>
      </w:r>
    </w:p>
    <w:p>
      <w:pPr>
        <w:spacing w:line="360" w:lineRule="auto"/>
      </w:pPr>
      <w:r>
        <w:rPr>
          <w:rFonts w:ascii="Times New Roman" w:hAnsi="Times New Roman" w:eastAsia="黑体"/>
          <w:b/>
          <w:sz w:val="28"/>
        </w:rPr>
        <w:t>二、项目完成情况</w:t>
      </w:r>
    </w:p>
    <w:p>
      <w:pPr>
        <w:spacing w:line="360" w:lineRule="auto"/>
      </w:pPr>
      <w:r>
        <w:rPr>
          <w:rFonts w:ascii="Times New Roman" w:hAnsi="Times New Roman" w:eastAsia="黑体"/>
          <w:b/>
          <w:sz w:val="24"/>
        </w:rPr>
        <w:t>2.1 目标完成情况</w:t>
      </w:r>
    </w:p>
    <w:p>
      <w:pPr>
        <w:spacing w:line="360" w:lineRule="auto"/>
        <w:ind w:firstLine="476"/>
      </w:pPr>
      <w:r>
        <w:rPr>
          <w:rFonts w:ascii="Times New Roman" w:hAnsi="Times New Roman" w:eastAsia="宋体"/>
          <w:b w:val="0"/>
          <w:sz w:val="24"/>
        </w:rPr>
        <w:t>项目总体目标已完成。围绕“面向互联网基础资源的大模型多智能体协作与可信认知标识技术研究”任务书要求，项目构建了从能力命名、候选组织、结构化判别、职责化协作复核、授权改判到过程记录的完整研究链路，形成了可运行原型、固定评测协议、量化实验结果和结项支撑材料。</w:t>
      </w:r>
    </w:p>
    <w:p>
      <w:pPr>
        <w:spacing w:line="360" w:lineRule="auto"/>
        <w:ind w:firstLine="476"/>
      </w:pPr>
      <w:r>
        <w:rPr>
          <w:rFonts w:ascii="Times New Roman" w:hAnsi="Times New Roman" w:eastAsia="宋体"/>
          <w:b w:val="0"/>
          <w:sz w:val="24"/>
        </w:rPr>
        <w:t>在技术目标方面，项目完成了面向智能体服务调用入口的能力组织与地址表达方式，形成主能力、相关能力和执行实例映射的统一任务定义；完成单智能体结构化语义判别和多智能体职责化协作复核机制；将协作触发和最终改判拆开管理，通过票数、证据强度、共识增益和风险确认等条件控制改判边界；将候选快照、规则分数、结构化判断、角色提案、授权结果和执行实例映射写入过程记录，支撑可回放、可解释和可审计。</w:t>
      </w:r>
    </w:p>
    <w:p>
      <w:pPr>
        <w:spacing w:line="360" w:lineRule="auto"/>
        <w:ind w:firstLine="476"/>
      </w:pPr>
      <w:r>
        <w:rPr>
          <w:rFonts w:ascii="Times New Roman" w:hAnsi="Times New Roman" w:eastAsia="宋体"/>
          <w:b w:val="0"/>
          <w:sz w:val="24"/>
        </w:rPr>
        <w:t>在原型目标方面，项目已形成面向智能体能力命名与协作复核的原型系统，覆盖自然语言请求输入、候选集合构造、规则基线判断、单智能体结构化语义判别、多智能体职责化协作复核、显式授权改判、结果展示和执行实例映射等环节。原型可用于典型任务演示、实验复现、过程回放和错误分析，满足任务书关于任务演示、评估与成果展示的要求。</w:t>
      </w:r>
    </w:p>
    <w:p>
      <w:pPr>
        <w:spacing w:line="360" w:lineRule="auto"/>
        <w:ind w:firstLine="476"/>
      </w:pPr>
      <w:r>
        <w:rPr>
          <w:rFonts w:ascii="Times New Roman" w:hAnsi="Times New Roman" w:eastAsia="宋体"/>
          <w:b w:val="0"/>
          <w:sz w:val="24"/>
        </w:rPr>
        <w:t>在成果目标方面，项目已形成技术研究报告、论文投稿稿、专利申请相关材料、项目成果汇编、成果宣传材料、实验图表和验收支撑材料。同时，依托本项目对智能体、多智能体协作与智能体互联网的探索研究，相关工作支撑形成智能体互联网与智能体域名方向的专报材料、原型系统和发布展示材料。上述支撑性成果与项目任务书直接考核成果区分表述，涉及正式提交、受理、授权、发表、录用、上线、采用和批示等状态的事项，以正式管理记录或证明材料为准。</w:t>
      </w:r>
    </w:p>
    <w:p>
      <w:pPr>
        <w:spacing w:line="360" w:lineRule="auto"/>
      </w:pPr>
      <w:r>
        <w:rPr>
          <w:rFonts w:ascii="Times New Roman" w:hAnsi="Times New Roman" w:eastAsia="黑体"/>
          <w:b/>
          <w:sz w:val="24"/>
        </w:rPr>
        <w:t>2.2 主要工作内容</w:t>
      </w:r>
    </w:p>
    <w:p>
      <w:pPr>
        <w:spacing w:line="360" w:lineRule="auto"/>
        <w:ind w:firstLine="476"/>
      </w:pPr>
      <w:r>
        <w:rPr>
          <w:rFonts w:ascii="Times New Roman" w:hAnsi="Times New Roman" w:eastAsia="宋体"/>
          <w:b w:val="0"/>
          <w:sz w:val="24"/>
        </w:rPr>
        <w:t>一是完成能力命名空间与地址表达研究。项目构建面向智能体服务的能力命名空间，从能力域、能力节点、节点描述、别名、层级关系、场景标签和执行约束等维度统一表达智能体能力，并区分能力逻辑地址和执行实例地址，为候选组织、语义判断和过程记录提供共同对象。</w:t>
      </w:r>
    </w:p>
    <w:p>
      <w:pPr>
        <w:spacing w:line="360" w:lineRule="auto"/>
        <w:ind w:firstLine="476"/>
      </w:pPr>
      <w:r>
        <w:rPr>
          <w:rFonts w:ascii="Times New Roman" w:hAnsi="Times New Roman" w:eastAsia="宋体"/>
          <w:b w:val="0"/>
          <w:sz w:val="24"/>
        </w:rPr>
        <w:t>二是完成候选集合构造与规则基线研究。项目依据节点描述、别名、层级位置、场景标签和上下文信号构造候选集合，形成候选优先级、候选证据包和候选快照。规则基线在同一候选边界内形成低成本、可解释的基础判断，并作为后续结构化语义判别和实验对照的稳定输入。</w:t>
      </w:r>
    </w:p>
    <w:p>
      <w:pPr>
        <w:spacing w:line="360" w:lineRule="auto"/>
        <w:ind w:firstLine="476"/>
      </w:pPr>
      <w:r>
        <w:rPr>
          <w:rFonts w:ascii="Times New Roman" w:hAnsi="Times New Roman" w:eastAsia="宋体"/>
          <w:b w:val="0"/>
          <w:sz w:val="24"/>
        </w:rPr>
        <w:t>三是完成单智能体结构化语义判别研究。项目将大模型判断约束在固定候选集合内部，输出主能力、相关能力、置信度、场景摘要、主任务依据、竞争候选说明、风险标记和不确定性摘要等结构化字段，使模型结果能够被复核、回放和审计。</w:t>
      </w:r>
    </w:p>
    <w:p>
      <w:pPr>
        <w:spacing w:line="360" w:lineRule="auto"/>
        <w:ind w:firstLine="476"/>
      </w:pPr>
      <w:r>
        <w:rPr>
          <w:rFonts w:ascii="Times New Roman" w:hAnsi="Times New Roman" w:eastAsia="宋体"/>
          <w:b w:val="0"/>
          <w:sz w:val="24"/>
        </w:rPr>
        <w:t>四是完成多智能体职责化协作复核研究。项目设置任务匹配、治理风险、层级解析和用户偏好四类角色，对低置信、高风险、候选差距小、多意图不稳定和层级竞争样本进行条件化复核；协作控制器聚合角色提案、显式证据和职责信号，并通过授权规则决定是否改判。</w:t>
      </w:r>
    </w:p>
    <w:p>
      <w:pPr>
        <w:spacing w:line="360" w:lineRule="auto"/>
        <w:ind w:firstLine="476"/>
      </w:pPr>
      <w:r>
        <w:rPr>
          <w:rFonts w:ascii="Times New Roman" w:hAnsi="Times New Roman" w:eastAsia="宋体"/>
          <w:b w:val="0"/>
          <w:sz w:val="24"/>
        </w:rPr>
        <w:t>五是完成可信认知标识和过程记录研究。项目将可信认知标识落实为能力标识符、角色标识符、决策标识符、复核标识符、轨迹标识符和执行标识符，并将候选、判断、复核、授权和执行实例映射过程统一记录，形成样本级复盘和审计基础。</w:t>
      </w:r>
    </w:p>
    <w:p>
      <w:pPr>
        <w:spacing w:line="360" w:lineRule="auto"/>
        <w:ind w:firstLine="476"/>
      </w:pPr>
      <w:r>
        <w:rPr>
          <w:rFonts w:ascii="Times New Roman" w:hAnsi="Times New Roman" w:eastAsia="宋体"/>
          <w:b w:val="0"/>
          <w:sz w:val="24"/>
        </w:rPr>
        <w:t>六是完成数据资产、实验验证和成果材料整理。项目构建563条样本的统一评测资产，围绕主标签准确率、可接受准确率、相关能力召回率和精确率、改判/纠错/误改、协作触发率、调用复杂度代理、配对消融、后验诊断和累计样本池稳定性开展实验分析，并形成技术报告、论文稿、专利申请材料、成果汇编、宣传稿和图表材料。</w:t>
      </w:r>
    </w:p>
    <w:p>
      <w:pPr>
        <w:spacing w:line="360" w:lineRule="auto"/>
        <w:ind w:firstLine="476"/>
      </w:pPr>
      <w:r>
        <w:rPr>
          <w:rFonts w:ascii="Times New Roman" w:hAnsi="Times New Roman" w:eastAsia="宋体"/>
          <w:b w:val="0"/>
          <w:sz w:val="24"/>
        </w:rPr>
        <w:t>图1和图2列示项目完成的原型链路和多智能体职责化复核流程，可作为“完成情况”部分的图示证明。</w:t>
      </w:r>
    </w:p>
    <w:p>
      <w:pPr>
        <w:spacing w:line="240" w:lineRule="auto"/>
        <w:jc w:val="center"/>
      </w:pPr>
      <w:r>
        <w:drawing>
          <wp:inline xmlns:a="http://schemas.openxmlformats.org/drawingml/2006/main" xmlns:pic="http://schemas.openxmlformats.org/drawingml/2006/picture">
            <wp:extent cx="5472000" cy="1824000"/>
            <wp:docPr id="3" name="Picture 3"/>
            <wp:cNvGraphicFramePr>
              <a:graphicFrameLocks noChangeAspect="1"/>
            </wp:cNvGraphicFramePr>
            <a:graphic>
              <a:graphicData uri="http://schemas.openxmlformats.org/drawingml/2006/picture">
                <pic:pic>
                  <pic:nvPicPr>
                    <pic:cNvPr id="0" name="图1-系统总体架构.png"/>
                    <pic:cNvPicPr/>
                  </pic:nvPicPr>
                  <pic:blipFill>
                    <a:blip r:embed="rId11"/>
                    <a:stretch>
                      <a:fillRect/>
                    </a:stretch>
                  </pic:blipFill>
                  <pic:spPr>
                    <a:xfrm>
                      <a:off x="0" y="0"/>
                      <a:ext cx="5472000" cy="1824000"/>
                    </a:xfrm>
                    <a:prstGeom prst="rect"/>
                  </pic:spPr>
                </pic:pic>
              </a:graphicData>
            </a:graphic>
          </wp:inline>
        </w:drawing>
      </w:r>
    </w:p>
    <w:p>
      <w:pPr>
        <w:spacing w:line="240" w:lineRule="auto"/>
        <w:jc w:val="center"/>
      </w:pPr>
      <w:r>
        <w:rPr>
          <w:rFonts w:ascii="Times New Roman" w:hAnsi="Times New Roman" w:eastAsia="宋体"/>
          <w:b w:val="0"/>
          <w:sz w:val="21"/>
        </w:rPr>
        <w:t>图1 系统总体架构</w:t>
      </w:r>
    </w:p>
    <w:p>
      <w:pPr>
        <w:spacing w:line="240" w:lineRule="auto"/>
        <w:jc w:val="center"/>
      </w:pPr>
      <w:r>
        <w:drawing>
          <wp:inline xmlns:a="http://schemas.openxmlformats.org/drawingml/2006/main" xmlns:pic="http://schemas.openxmlformats.org/drawingml/2006/picture">
            <wp:extent cx="5472000" cy="1824000"/>
            <wp:docPr id="2" name="Picture 2"/>
            <wp:cNvGraphicFramePr>
              <a:graphicFrameLocks noChangeAspect="1"/>
            </wp:cNvGraphicFramePr>
            <a:graphic>
              <a:graphicData uri="http://schemas.openxmlformats.org/drawingml/2006/picture">
                <pic:pic>
                  <pic:nvPicPr>
                    <pic:cNvPr id="0" name="图2-职责化协作复核流程.png"/>
                    <pic:cNvPicPr/>
                  </pic:nvPicPr>
                  <pic:blipFill>
                    <a:blip r:embed="rId10"/>
                    <a:stretch>
                      <a:fillRect/>
                    </a:stretch>
                  </pic:blipFill>
                  <pic:spPr>
                    <a:xfrm>
                      <a:off x="0" y="0"/>
                      <a:ext cx="5472000" cy="1824000"/>
                    </a:xfrm>
                    <a:prstGeom prst="rect"/>
                  </pic:spPr>
                </pic:pic>
              </a:graphicData>
            </a:graphic>
          </wp:inline>
        </w:drawing>
      </w:r>
    </w:p>
    <w:p>
      <w:pPr>
        <w:spacing w:line="240" w:lineRule="auto"/>
        <w:jc w:val="center"/>
      </w:pPr>
      <w:r>
        <w:rPr>
          <w:rFonts w:ascii="Times New Roman" w:hAnsi="Times New Roman" w:eastAsia="宋体"/>
          <w:b w:val="0"/>
          <w:sz w:val="21"/>
        </w:rPr>
        <w:t>图2 职责化协作复核流程</w:t>
      </w:r>
    </w:p>
    <w:p>
      <w:pPr>
        <w:spacing w:line="360" w:lineRule="auto"/>
      </w:pPr>
      <w:r>
        <w:rPr>
          <w:rFonts w:ascii="Times New Roman" w:hAnsi="Times New Roman" w:eastAsia="黑体"/>
          <w:b/>
          <w:sz w:val="24"/>
        </w:rPr>
        <w:t>2.3 考核指标完成情况</w:t>
      </w:r>
    </w:p>
    <w:tbl>
      <w:tblPr>
        <w:tblStyle w:val="TableGrid"/>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68"/>
        <w:gridCol w:w="2268"/>
        <w:gridCol w:w="2268"/>
        <w:gridCol w:w="2268"/>
      </w:tblGrid>
      <w:tr>
        <w:tc>
          <w:tcPr>
            <w:tcW w:type="dxa" w:w="2268"/>
          </w:tcPr>
          <w:p>
            <w:pPr>
              <w:spacing w:line="288" w:lineRule="auto"/>
            </w:pPr>
            <w:r/>
            <w:r>
              <w:rPr>
                <w:rFonts w:ascii="Times New Roman" w:hAnsi="Times New Roman" w:eastAsia="宋体"/>
                <w:b/>
                <w:sz w:val="21"/>
              </w:rPr>
              <w:t>考核指标</w:t>
            </w:r>
          </w:p>
        </w:tc>
        <w:tc>
          <w:tcPr>
            <w:tcW w:type="dxa" w:w="2268"/>
          </w:tcPr>
          <w:p>
            <w:pPr>
              <w:spacing w:line="288" w:lineRule="auto"/>
            </w:pPr>
            <w:r/>
            <w:r>
              <w:rPr>
                <w:rFonts w:ascii="Times New Roman" w:hAnsi="Times New Roman" w:eastAsia="宋体"/>
                <w:b/>
                <w:sz w:val="21"/>
              </w:rPr>
              <w:t>任务书要求</w:t>
            </w:r>
          </w:p>
        </w:tc>
        <w:tc>
          <w:tcPr>
            <w:tcW w:type="dxa" w:w="2268"/>
          </w:tcPr>
          <w:p>
            <w:pPr>
              <w:spacing w:line="288" w:lineRule="auto"/>
            </w:pPr>
            <w:r/>
            <w:r>
              <w:rPr>
                <w:rFonts w:ascii="Times New Roman" w:hAnsi="Times New Roman" w:eastAsia="宋体"/>
                <w:b/>
                <w:sz w:val="21"/>
              </w:rPr>
              <w:t>完成情况</w:t>
            </w:r>
          </w:p>
        </w:tc>
        <w:tc>
          <w:tcPr>
            <w:tcW w:type="dxa" w:w="2268"/>
          </w:tcPr>
          <w:p>
            <w:pPr>
              <w:spacing w:line="288" w:lineRule="auto"/>
            </w:pPr>
            <w:r/>
            <w:r>
              <w:rPr>
                <w:rFonts w:ascii="Times New Roman" w:hAnsi="Times New Roman" w:eastAsia="宋体"/>
                <w:b/>
                <w:sz w:val="21"/>
              </w:rPr>
              <w:t>验收说明</w:t>
            </w:r>
          </w:p>
        </w:tc>
      </w:tr>
      <w:tr>
        <w:tc>
          <w:tcPr>
            <w:tcW w:type="dxa" w:w="2268"/>
          </w:tcPr>
          <w:p>
            <w:pPr>
              <w:spacing w:line="288" w:lineRule="auto"/>
            </w:pPr>
            <w:r/>
            <w:r>
              <w:rPr>
                <w:rFonts w:ascii="Times New Roman" w:hAnsi="Times New Roman" w:eastAsia="宋体"/>
                <w:b w:val="0"/>
                <w:sz w:val="21"/>
              </w:rPr>
              <w:t>多智能体协作原型框架</w:t>
            </w:r>
          </w:p>
        </w:tc>
        <w:tc>
          <w:tcPr>
            <w:tcW w:type="dxa" w:w="2268"/>
          </w:tcPr>
          <w:p>
            <w:pPr>
              <w:spacing w:line="288" w:lineRule="auto"/>
            </w:pPr>
            <w:r/>
            <w:r>
              <w:rPr>
                <w:rFonts w:ascii="Times New Roman" w:hAnsi="Times New Roman" w:eastAsia="宋体"/>
                <w:b w:val="0"/>
                <w:sz w:val="21"/>
              </w:rPr>
              <w:t>构建1套多智能体协作原型框架，具备生成-选择-共识模块</w:t>
            </w:r>
          </w:p>
        </w:tc>
        <w:tc>
          <w:tcPr>
            <w:tcW w:type="dxa" w:w="2268"/>
          </w:tcPr>
          <w:p>
            <w:pPr>
              <w:spacing w:line="288" w:lineRule="auto"/>
            </w:pPr>
            <w:r/>
            <w:r>
              <w:rPr>
                <w:rFonts w:ascii="Times New Roman" w:hAnsi="Times New Roman" w:eastAsia="宋体"/>
                <w:b w:val="0"/>
                <w:sz w:val="21"/>
              </w:rPr>
              <w:t>已完成</w:t>
            </w:r>
          </w:p>
        </w:tc>
        <w:tc>
          <w:tcPr>
            <w:tcW w:type="dxa" w:w="2268"/>
          </w:tcPr>
          <w:p>
            <w:pPr>
              <w:spacing w:line="288" w:lineRule="auto"/>
            </w:pPr>
            <w:r/>
            <w:r>
              <w:rPr>
                <w:rFonts w:ascii="Times New Roman" w:hAnsi="Times New Roman" w:eastAsia="宋体"/>
                <w:b w:val="0"/>
                <w:sz w:val="21"/>
              </w:rPr>
              <w:t>已形成能力命名、候选集合构造、单智能体结构化语义判别、职责化协作复核、授权改判、过程记录和执行实例映射的原型链路</w:t>
            </w:r>
          </w:p>
        </w:tc>
      </w:tr>
      <w:tr>
        <w:tc>
          <w:tcPr>
            <w:tcW w:type="dxa" w:w="2268"/>
          </w:tcPr>
          <w:p>
            <w:pPr>
              <w:spacing w:line="288" w:lineRule="auto"/>
            </w:pPr>
            <w:r/>
            <w:r>
              <w:rPr>
                <w:rFonts w:ascii="Times New Roman" w:hAnsi="Times New Roman" w:eastAsia="宋体"/>
                <w:b w:val="0"/>
                <w:sz w:val="21"/>
              </w:rPr>
              <w:t>发明专利</w:t>
            </w:r>
          </w:p>
        </w:tc>
        <w:tc>
          <w:tcPr>
            <w:tcW w:type="dxa" w:w="2268"/>
          </w:tcPr>
          <w:p>
            <w:pPr>
              <w:spacing w:line="288" w:lineRule="auto"/>
            </w:pPr>
            <w:r/>
            <w:r>
              <w:rPr>
                <w:rFonts w:ascii="Times New Roman" w:hAnsi="Times New Roman" w:eastAsia="宋体"/>
                <w:b w:val="0"/>
                <w:sz w:val="21"/>
              </w:rPr>
              <w:t>提交至少1项发明专利</w:t>
            </w:r>
          </w:p>
        </w:tc>
        <w:tc>
          <w:tcPr>
            <w:tcW w:type="dxa" w:w="2268"/>
          </w:tcPr>
          <w:p>
            <w:pPr>
              <w:spacing w:line="288" w:lineRule="auto"/>
            </w:pPr>
            <w:r/>
            <w:r>
              <w:rPr>
                <w:rFonts w:ascii="Times New Roman" w:hAnsi="Times New Roman" w:eastAsia="宋体"/>
                <w:b w:val="0"/>
                <w:sz w:val="21"/>
              </w:rPr>
              <w:t>已形成申请相关材料；正式提交/受理状态以正式管理记录为准</w:t>
            </w:r>
          </w:p>
        </w:tc>
        <w:tc>
          <w:tcPr>
            <w:tcW w:type="dxa" w:w="2268"/>
          </w:tcPr>
          <w:p>
            <w:pPr>
              <w:spacing w:line="288" w:lineRule="auto"/>
            </w:pPr>
            <w:r/>
            <w:r>
              <w:rPr>
                <w:rFonts w:ascii="Times New Roman" w:hAnsi="Times New Roman" w:eastAsia="宋体"/>
                <w:b w:val="0"/>
                <w:sz w:val="21"/>
              </w:rPr>
              <w:t>已形成专利技术交底书、权利要求书、说明书摘要、说明书附图和申请材料汇编</w:t>
            </w:r>
          </w:p>
        </w:tc>
      </w:tr>
      <w:tr>
        <w:tc>
          <w:tcPr>
            <w:tcW w:type="dxa" w:w="2268"/>
          </w:tcPr>
          <w:p>
            <w:pPr>
              <w:spacing w:line="288" w:lineRule="auto"/>
            </w:pPr>
            <w:r/>
            <w:r>
              <w:rPr>
                <w:rFonts w:ascii="Times New Roman" w:hAnsi="Times New Roman" w:eastAsia="宋体"/>
                <w:b w:val="0"/>
                <w:sz w:val="21"/>
              </w:rPr>
              <w:t>技术研究报告或论文</w:t>
            </w:r>
          </w:p>
        </w:tc>
        <w:tc>
          <w:tcPr>
            <w:tcW w:type="dxa" w:w="2268"/>
          </w:tcPr>
          <w:p>
            <w:pPr>
              <w:spacing w:line="288" w:lineRule="auto"/>
            </w:pPr>
            <w:r/>
            <w:r>
              <w:rPr>
                <w:rFonts w:ascii="Times New Roman" w:hAnsi="Times New Roman" w:eastAsia="宋体"/>
                <w:b w:val="0"/>
                <w:sz w:val="21"/>
              </w:rPr>
              <w:t>提交技术研究报告或论文至少1份</w:t>
            </w:r>
          </w:p>
        </w:tc>
        <w:tc>
          <w:tcPr>
            <w:tcW w:type="dxa" w:w="2268"/>
          </w:tcPr>
          <w:p>
            <w:pPr>
              <w:spacing w:line="288" w:lineRule="auto"/>
            </w:pPr>
            <w:r/>
            <w:r>
              <w:rPr>
                <w:rFonts w:ascii="Times New Roman" w:hAnsi="Times New Roman" w:eastAsia="宋体"/>
                <w:b w:val="0"/>
                <w:sz w:val="21"/>
              </w:rPr>
              <w:t>已完成</w:t>
            </w:r>
          </w:p>
        </w:tc>
        <w:tc>
          <w:tcPr>
            <w:tcW w:type="dxa" w:w="2268"/>
          </w:tcPr>
          <w:p>
            <w:pPr>
              <w:spacing w:line="288" w:lineRule="auto"/>
            </w:pPr>
            <w:r/>
            <w:r>
              <w:rPr>
                <w:rFonts w:ascii="Times New Roman" w:hAnsi="Times New Roman" w:eastAsia="宋体"/>
                <w:b w:val="0"/>
                <w:sz w:val="21"/>
              </w:rPr>
              <w:t>已形成技术研究报告和论文投稿稿，内容覆盖方法设计、实验协议、评测结果、协作消融和机制分析</w:t>
            </w:r>
          </w:p>
        </w:tc>
      </w:tr>
      <w:tr>
        <w:tc>
          <w:tcPr>
            <w:tcW w:type="dxa" w:w="2268"/>
          </w:tcPr>
          <w:p>
            <w:pPr>
              <w:spacing w:line="288" w:lineRule="auto"/>
            </w:pPr>
            <w:r/>
            <w:r>
              <w:rPr>
                <w:rFonts w:ascii="Times New Roman" w:hAnsi="Times New Roman" w:eastAsia="宋体"/>
                <w:b w:val="0"/>
                <w:sz w:val="21"/>
              </w:rPr>
              <w:t>对内成果展示或汇报演示</w:t>
            </w:r>
          </w:p>
        </w:tc>
        <w:tc>
          <w:tcPr>
            <w:tcW w:type="dxa" w:w="2268"/>
          </w:tcPr>
          <w:p>
            <w:pPr>
              <w:spacing w:line="288" w:lineRule="auto"/>
            </w:pPr>
            <w:r/>
            <w:r>
              <w:rPr>
                <w:rFonts w:ascii="Times New Roman" w:hAnsi="Times New Roman" w:eastAsia="宋体"/>
                <w:b w:val="0"/>
                <w:sz w:val="21"/>
              </w:rPr>
              <w:t>完成至少1次对内成果展示或汇报演示</w:t>
            </w:r>
          </w:p>
        </w:tc>
        <w:tc>
          <w:tcPr>
            <w:tcW w:type="dxa" w:w="2268"/>
          </w:tcPr>
          <w:p>
            <w:pPr>
              <w:spacing w:line="288" w:lineRule="auto"/>
            </w:pPr>
            <w:r/>
            <w:r>
              <w:rPr>
                <w:rFonts w:ascii="Times New Roman" w:hAnsi="Times New Roman" w:eastAsia="宋体"/>
                <w:b w:val="0"/>
                <w:sz w:val="21"/>
              </w:rPr>
              <w:t>已形成成果展示支撑材料；正式展示记录以实际会议材料为准</w:t>
            </w:r>
          </w:p>
        </w:tc>
        <w:tc>
          <w:tcPr>
            <w:tcW w:type="dxa" w:w="2268"/>
          </w:tcPr>
          <w:p>
            <w:pPr>
              <w:spacing w:line="288" w:lineRule="auto"/>
            </w:pPr>
            <w:r/>
            <w:r>
              <w:rPr>
                <w:rFonts w:ascii="Times New Roman" w:hAnsi="Times New Roman" w:eastAsia="宋体"/>
                <w:b w:val="0"/>
                <w:sz w:val="21"/>
              </w:rPr>
              <w:t>已形成原型系统、运行截图、实验图表、宣传稿、成果汇编和汇报支撑材料</w:t>
            </w:r>
          </w:p>
        </w:tc>
      </w:tr>
    </w:tbl>
    <w:p>
      <w:pPr>
        <w:spacing w:line="360" w:lineRule="auto"/>
        <w:ind w:firstLine="476"/>
      </w:pPr>
      <w:r>
        <w:rPr>
          <w:rFonts w:ascii="Times New Roman" w:hAnsi="Times New Roman" w:eastAsia="宋体"/>
          <w:b w:val="0"/>
          <w:sz w:val="24"/>
        </w:rPr>
        <w:t>项目主要实验数据如下表所示。该表与后续文字说明共同支撑“稳定性、可控性、可解释性”的验收判断。</w:t>
      </w:r>
    </w:p>
    <w:tbl>
      <w:tblPr>
        <w:tblStyle w:val="TableGrid"/>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68"/>
        <w:gridCol w:w="2268"/>
        <w:gridCol w:w="2268"/>
        <w:gridCol w:w="2268"/>
      </w:tblGrid>
      <w:tr>
        <w:tc>
          <w:tcPr>
            <w:tcW w:type="dxa" w:w="2268"/>
          </w:tcPr>
          <w:p>
            <w:pPr>
              <w:spacing w:line="288" w:lineRule="auto"/>
            </w:pPr>
            <w:r/>
            <w:r>
              <w:rPr>
                <w:rFonts w:ascii="Times New Roman" w:hAnsi="Times New Roman" w:eastAsia="宋体"/>
                <w:b/>
                <w:sz w:val="21"/>
              </w:rPr>
              <w:t>实验对象</w:t>
            </w:r>
          </w:p>
        </w:tc>
        <w:tc>
          <w:tcPr>
            <w:tcW w:type="dxa" w:w="2268"/>
          </w:tcPr>
          <w:p>
            <w:pPr>
              <w:spacing w:line="288" w:lineRule="auto"/>
            </w:pPr>
            <w:r/>
            <w:r>
              <w:rPr>
                <w:rFonts w:ascii="Times New Roman" w:hAnsi="Times New Roman" w:eastAsia="宋体"/>
                <w:b/>
                <w:sz w:val="21"/>
              </w:rPr>
              <w:t>数据规模/协议</w:t>
            </w:r>
          </w:p>
        </w:tc>
        <w:tc>
          <w:tcPr>
            <w:tcW w:type="dxa" w:w="2268"/>
          </w:tcPr>
          <w:p>
            <w:pPr>
              <w:spacing w:line="288" w:lineRule="auto"/>
            </w:pPr>
            <w:r/>
            <w:r>
              <w:rPr>
                <w:rFonts w:ascii="Times New Roman" w:hAnsi="Times New Roman" w:eastAsia="宋体"/>
                <w:b/>
                <w:sz w:val="21"/>
              </w:rPr>
              <w:t>关键结果</w:t>
            </w:r>
          </w:p>
        </w:tc>
        <w:tc>
          <w:tcPr>
            <w:tcW w:type="dxa" w:w="2268"/>
          </w:tcPr>
          <w:p>
            <w:pPr>
              <w:spacing w:line="288" w:lineRule="auto"/>
            </w:pPr>
            <w:r/>
            <w:r>
              <w:rPr>
                <w:rFonts w:ascii="Times New Roman" w:hAnsi="Times New Roman" w:eastAsia="宋体"/>
                <w:b/>
                <w:sz w:val="21"/>
              </w:rPr>
              <w:t>说明</w:t>
            </w:r>
          </w:p>
        </w:tc>
      </w:tr>
      <w:tr>
        <w:tc>
          <w:tcPr>
            <w:tcW w:type="dxa" w:w="2268"/>
          </w:tcPr>
          <w:p>
            <w:pPr>
              <w:spacing w:line="288" w:lineRule="auto"/>
            </w:pPr>
            <w:r/>
            <w:r>
              <w:rPr>
                <w:rFonts w:ascii="Times New Roman" w:hAnsi="Times New Roman" w:eastAsia="宋体"/>
                <w:b w:val="0"/>
                <w:sz w:val="21"/>
              </w:rPr>
              <w:t>统一评测资产</w:t>
            </w:r>
          </w:p>
        </w:tc>
        <w:tc>
          <w:tcPr>
            <w:tcW w:type="dxa" w:w="2268"/>
          </w:tcPr>
          <w:p>
            <w:pPr>
              <w:spacing w:line="288" w:lineRule="auto"/>
            </w:pPr>
            <w:r/>
            <w:r>
              <w:rPr>
                <w:rFonts w:ascii="Times New Roman" w:hAnsi="Times New Roman" w:eastAsia="宋体"/>
                <w:b w:val="0"/>
                <w:sz w:val="21"/>
              </w:rPr>
              <w:t>563条样本，训练集450条、测试集113条</w:t>
            </w:r>
          </w:p>
        </w:tc>
        <w:tc>
          <w:tcPr>
            <w:tcW w:type="dxa" w:w="2268"/>
          </w:tcPr>
          <w:p>
            <w:pPr>
              <w:spacing w:line="288" w:lineRule="auto"/>
            </w:pPr>
            <w:r/>
            <w:r>
              <w:rPr>
                <w:rFonts w:ascii="Times New Roman" w:hAnsi="Times New Roman" w:eastAsia="宋体"/>
                <w:b w:val="0"/>
                <w:sz w:val="21"/>
              </w:rPr>
              <w:t>覆盖50个能力节点、45类主标签；测试集top-8候选包标准答案覆盖率97.35%（110/113）</w:t>
            </w:r>
          </w:p>
        </w:tc>
        <w:tc>
          <w:tcPr>
            <w:tcW w:type="dxa" w:w="2268"/>
          </w:tcPr>
          <w:p>
            <w:pPr>
              <w:spacing w:line="288" w:lineRule="auto"/>
            </w:pPr>
            <w:r/>
            <w:r>
              <w:rPr>
                <w:rFonts w:ascii="Times New Roman" w:hAnsi="Times New Roman" w:eastAsia="宋体"/>
                <w:b w:val="0"/>
                <w:sz w:val="21"/>
              </w:rPr>
              <w:t>支撑固定候选边界内的主能力选择、相关能力识别和复核评估</w:t>
            </w:r>
          </w:p>
        </w:tc>
      </w:tr>
      <w:tr>
        <w:tc>
          <w:tcPr>
            <w:tcW w:type="dxa" w:w="2268"/>
          </w:tcPr>
          <w:p>
            <w:pPr>
              <w:spacing w:line="288" w:lineRule="auto"/>
            </w:pPr>
            <w:r/>
            <w:r>
              <w:rPr>
                <w:rFonts w:ascii="Times New Roman" w:hAnsi="Times New Roman" w:eastAsia="宋体"/>
                <w:b w:val="0"/>
                <w:sz w:val="21"/>
              </w:rPr>
              <w:t>规则基线</w:t>
            </w:r>
          </w:p>
        </w:tc>
        <w:tc>
          <w:tcPr>
            <w:tcW w:type="dxa" w:w="2268"/>
          </w:tcPr>
          <w:p>
            <w:pPr>
              <w:spacing w:line="288" w:lineRule="auto"/>
            </w:pPr>
            <w:r/>
            <w:r>
              <w:rPr>
                <w:rFonts w:ascii="Times New Roman" w:hAnsi="Times New Roman" w:eastAsia="宋体"/>
                <w:b w:val="0"/>
                <w:sz w:val="21"/>
              </w:rPr>
              <w:t>统一测试集113条</w:t>
            </w:r>
          </w:p>
        </w:tc>
        <w:tc>
          <w:tcPr>
            <w:tcW w:type="dxa" w:w="2268"/>
          </w:tcPr>
          <w:p>
            <w:pPr>
              <w:spacing w:line="288" w:lineRule="auto"/>
            </w:pPr>
            <w:r/>
            <w:r>
              <w:rPr>
                <w:rFonts w:ascii="Times New Roman" w:hAnsi="Times New Roman" w:eastAsia="宋体"/>
                <w:b w:val="0"/>
                <w:sz w:val="21"/>
              </w:rPr>
              <w:t>主标签准确率78.76%（89/113），可接受准确率81.42%</w:t>
            </w:r>
          </w:p>
        </w:tc>
        <w:tc>
          <w:tcPr>
            <w:tcW w:type="dxa" w:w="2268"/>
          </w:tcPr>
          <w:p>
            <w:pPr>
              <w:spacing w:line="288" w:lineRule="auto"/>
            </w:pPr>
            <w:r/>
            <w:r>
              <w:rPr>
                <w:rFonts w:ascii="Times New Roman" w:hAnsi="Times New Roman" w:eastAsia="宋体"/>
                <w:b w:val="0"/>
                <w:sz w:val="21"/>
              </w:rPr>
              <w:t>作为候选集合内的低成本可解释对照</w:t>
            </w:r>
          </w:p>
        </w:tc>
      </w:tr>
      <w:tr>
        <w:tc>
          <w:tcPr>
            <w:tcW w:type="dxa" w:w="2268"/>
          </w:tcPr>
          <w:p>
            <w:pPr>
              <w:spacing w:line="288" w:lineRule="auto"/>
            </w:pPr>
            <w:r/>
            <w:r>
              <w:rPr>
                <w:rFonts w:ascii="Times New Roman" w:hAnsi="Times New Roman" w:eastAsia="宋体"/>
                <w:b w:val="0"/>
                <w:sz w:val="21"/>
              </w:rPr>
              <w:t>单智能体结构化语义判别</w:t>
            </w:r>
          </w:p>
        </w:tc>
        <w:tc>
          <w:tcPr>
            <w:tcW w:type="dxa" w:w="2268"/>
          </w:tcPr>
          <w:p>
            <w:pPr>
              <w:spacing w:line="288" w:lineRule="auto"/>
            </w:pPr>
            <w:r/>
            <w:r>
              <w:rPr>
                <w:rFonts w:ascii="Times New Roman" w:hAnsi="Times New Roman" w:eastAsia="宋体"/>
                <w:b w:val="0"/>
                <w:sz w:val="21"/>
              </w:rPr>
              <w:t>统一测试集113条</w:t>
            </w:r>
          </w:p>
        </w:tc>
        <w:tc>
          <w:tcPr>
            <w:tcW w:type="dxa" w:w="2268"/>
          </w:tcPr>
          <w:p>
            <w:pPr>
              <w:spacing w:line="288" w:lineRule="auto"/>
            </w:pPr>
            <w:r/>
            <w:r>
              <w:rPr>
                <w:rFonts w:ascii="Times New Roman" w:hAnsi="Times New Roman" w:eastAsia="宋体"/>
                <w:b w:val="0"/>
                <w:sz w:val="21"/>
              </w:rPr>
              <w:t>主标签准确率87.61%（99/113），可接受准确率90.27%</w:t>
            </w:r>
          </w:p>
        </w:tc>
        <w:tc>
          <w:tcPr>
            <w:tcW w:type="dxa" w:w="2268"/>
          </w:tcPr>
          <w:p>
            <w:pPr>
              <w:spacing w:line="288" w:lineRule="auto"/>
            </w:pPr>
            <w:r/>
            <w:r>
              <w:rPr>
                <w:rFonts w:ascii="Times New Roman" w:hAnsi="Times New Roman" w:eastAsia="宋体"/>
                <w:b w:val="0"/>
                <w:sz w:val="21"/>
              </w:rPr>
              <w:t>相比规则基线形成主要性能提升</w:t>
            </w:r>
          </w:p>
        </w:tc>
      </w:tr>
      <w:tr>
        <w:tc>
          <w:tcPr>
            <w:tcW w:type="dxa" w:w="2268"/>
          </w:tcPr>
          <w:p>
            <w:pPr>
              <w:spacing w:line="288" w:lineRule="auto"/>
            </w:pPr>
            <w:r/>
            <w:r>
              <w:rPr>
                <w:rFonts w:ascii="Times New Roman" w:hAnsi="Times New Roman" w:eastAsia="宋体"/>
                <w:b w:val="0"/>
                <w:sz w:val="21"/>
              </w:rPr>
              <w:t>单智能体结构化语义判别+默认协作复核</w:t>
            </w:r>
          </w:p>
        </w:tc>
        <w:tc>
          <w:tcPr>
            <w:tcW w:type="dxa" w:w="2268"/>
          </w:tcPr>
          <w:p>
            <w:pPr>
              <w:spacing w:line="288" w:lineRule="auto"/>
            </w:pPr>
            <w:r/>
            <w:r>
              <w:rPr>
                <w:rFonts w:ascii="Times New Roman" w:hAnsi="Times New Roman" w:eastAsia="宋体"/>
                <w:b w:val="0"/>
                <w:sz w:val="21"/>
              </w:rPr>
              <w:t>统一测试集113条</w:t>
            </w:r>
          </w:p>
        </w:tc>
        <w:tc>
          <w:tcPr>
            <w:tcW w:type="dxa" w:w="2268"/>
          </w:tcPr>
          <w:p>
            <w:pPr>
              <w:spacing w:line="288" w:lineRule="auto"/>
            </w:pPr>
            <w:r/>
            <w:r>
              <w:rPr>
                <w:rFonts w:ascii="Times New Roman" w:hAnsi="Times New Roman" w:eastAsia="宋体"/>
                <w:b w:val="0"/>
                <w:sz w:val="21"/>
              </w:rPr>
              <w:t>主标签准确率88.50%（100/113），可接受准确率91.15%，改判/纠错/误改为1/1/0</w:t>
            </w:r>
          </w:p>
        </w:tc>
        <w:tc>
          <w:tcPr>
            <w:tcW w:type="dxa" w:w="2268"/>
          </w:tcPr>
          <w:p>
            <w:pPr>
              <w:spacing w:line="288" w:lineRule="auto"/>
            </w:pPr>
            <w:r/>
            <w:r>
              <w:rPr>
                <w:rFonts w:ascii="Times New Roman" w:hAnsi="Times New Roman" w:eastAsia="宋体"/>
                <w:b w:val="0"/>
                <w:sz w:val="21"/>
              </w:rPr>
              <w:t>保守复核配置下未观察到误改</w:t>
            </w:r>
          </w:p>
        </w:tc>
      </w:tr>
      <w:tr>
        <w:tc>
          <w:tcPr>
            <w:tcW w:type="dxa" w:w="2268"/>
          </w:tcPr>
          <w:p>
            <w:pPr>
              <w:spacing w:line="288" w:lineRule="auto"/>
            </w:pPr>
            <w:r/>
            <w:r>
              <w:rPr>
                <w:rFonts w:ascii="Times New Roman" w:hAnsi="Times New Roman" w:eastAsia="宋体"/>
                <w:b w:val="0"/>
                <w:sz w:val="21"/>
              </w:rPr>
              <w:t>扩展协作配置</w:t>
            </w:r>
          </w:p>
        </w:tc>
        <w:tc>
          <w:tcPr>
            <w:tcW w:type="dxa" w:w="2268"/>
          </w:tcPr>
          <w:p>
            <w:pPr>
              <w:spacing w:line="288" w:lineRule="auto"/>
            </w:pPr>
            <w:r/>
            <w:r>
              <w:rPr>
                <w:rFonts w:ascii="Times New Roman" w:hAnsi="Times New Roman" w:eastAsia="宋体"/>
                <w:b w:val="0"/>
                <w:sz w:val="21"/>
              </w:rPr>
              <w:t>训练集确定配置，测试集固定评估</w:t>
            </w:r>
          </w:p>
        </w:tc>
        <w:tc>
          <w:tcPr>
            <w:tcW w:type="dxa" w:w="2268"/>
          </w:tcPr>
          <w:p>
            <w:pPr>
              <w:spacing w:line="288" w:lineRule="auto"/>
            </w:pPr>
            <w:r/>
            <w:r>
              <w:rPr>
                <w:rFonts w:ascii="Times New Roman" w:hAnsi="Times New Roman" w:eastAsia="宋体"/>
                <w:b w:val="0"/>
                <w:sz w:val="21"/>
              </w:rPr>
              <w:t>测试集准确率92.92%（105/113），改判/纠错/误改为5/5/0</w:t>
            </w:r>
          </w:p>
        </w:tc>
        <w:tc>
          <w:tcPr>
            <w:tcW w:type="dxa" w:w="2268"/>
          </w:tcPr>
          <w:p>
            <w:pPr>
              <w:spacing w:line="288" w:lineRule="auto"/>
            </w:pPr>
            <w:r/>
            <w:r>
              <w:rPr>
                <w:rFonts w:ascii="Times New Roman" w:hAnsi="Times New Roman" w:eastAsia="宋体"/>
                <w:b w:val="0"/>
                <w:sz w:val="21"/>
              </w:rPr>
              <w:t>用于说明职责化协作在复杂样本上的净修正价值</w:t>
            </w:r>
          </w:p>
        </w:tc>
      </w:tr>
      <w:tr>
        <w:tc>
          <w:tcPr>
            <w:tcW w:type="dxa" w:w="2268"/>
          </w:tcPr>
          <w:p>
            <w:pPr>
              <w:spacing w:line="288" w:lineRule="auto"/>
            </w:pPr>
            <w:r/>
            <w:r>
              <w:rPr>
                <w:rFonts w:ascii="Times New Roman" w:hAnsi="Times New Roman" w:eastAsia="宋体"/>
                <w:b w:val="0"/>
                <w:sz w:val="21"/>
              </w:rPr>
              <w:t>配对消融样本集</w:t>
            </w:r>
          </w:p>
        </w:tc>
        <w:tc>
          <w:tcPr>
            <w:tcW w:type="dxa" w:w="2268"/>
          </w:tcPr>
          <w:p>
            <w:pPr>
              <w:spacing w:line="288" w:lineRule="auto"/>
            </w:pPr>
            <w:r/>
            <w:r>
              <w:rPr>
                <w:rFonts w:ascii="Times New Roman" w:hAnsi="Times New Roman" w:eastAsia="宋体"/>
                <w:b w:val="0"/>
                <w:sz w:val="21"/>
              </w:rPr>
              <w:t>训练侧320条、测试侧80条</w:t>
            </w:r>
          </w:p>
        </w:tc>
        <w:tc>
          <w:tcPr>
            <w:tcW w:type="dxa" w:w="2268"/>
          </w:tcPr>
          <w:p>
            <w:pPr>
              <w:spacing w:line="288" w:lineRule="auto"/>
            </w:pPr>
            <w:r/>
            <w:r>
              <w:rPr>
                <w:rFonts w:ascii="Times New Roman" w:hAnsi="Times New Roman" w:eastAsia="宋体"/>
                <w:b w:val="0"/>
                <w:sz w:val="21"/>
              </w:rPr>
              <w:t>职责化协作复核测试准确率92.50%，相较单角色/同质复核提升6.25个百分点</w:t>
            </w:r>
          </w:p>
        </w:tc>
        <w:tc>
          <w:tcPr>
            <w:tcW w:type="dxa" w:w="2268"/>
          </w:tcPr>
          <w:p>
            <w:pPr>
              <w:spacing w:line="288" w:lineRule="auto"/>
            </w:pPr>
            <w:r/>
            <w:r>
              <w:rPr>
                <w:rFonts w:ascii="Times New Roman" w:hAnsi="Times New Roman" w:eastAsia="宋体"/>
                <w:b w:val="0"/>
                <w:sz w:val="21"/>
              </w:rPr>
              <w:t>说明角色分工和授权控制是协作收益来源</w:t>
            </w:r>
          </w:p>
        </w:tc>
      </w:tr>
    </w:tbl>
    <w:p>
      <w:pPr>
        <w:spacing w:line="240" w:lineRule="auto"/>
        <w:jc w:val="center"/>
      </w:pPr>
      <w:r>
        <w:drawing>
          <wp:inline xmlns:a="http://schemas.openxmlformats.org/drawingml/2006/main" xmlns:pic="http://schemas.openxmlformats.org/drawingml/2006/picture">
            <wp:extent cx="5472000" cy="2950869"/>
            <wp:docPr id="1" name="Picture 1"/>
            <wp:cNvGraphicFramePr>
              <a:graphicFrameLocks noChangeAspect="1"/>
            </wp:cNvGraphicFramePr>
            <a:graphic>
              <a:graphicData uri="http://schemas.openxmlformats.org/drawingml/2006/picture">
                <pic:pic>
                  <pic:nvPicPr>
                    <pic:cNvPr id="0" name="01_pooled_test_waterfall.png"/>
                    <pic:cNvPicPr/>
                  </pic:nvPicPr>
                  <pic:blipFill>
                    <a:blip r:embed="rId9"/>
                    <a:stretch>
                      <a:fillRect/>
                    </a:stretch>
                  </pic:blipFill>
                  <pic:spPr>
                    <a:xfrm>
                      <a:off x="0" y="0"/>
                      <a:ext cx="5472000" cy="2950869"/>
                    </a:xfrm>
                    <a:prstGeom prst="rect"/>
                  </pic:spPr>
                </pic:pic>
              </a:graphicData>
            </a:graphic>
          </wp:inline>
        </w:drawing>
      </w:r>
    </w:p>
    <w:p>
      <w:pPr>
        <w:spacing w:line="240" w:lineRule="auto"/>
        <w:jc w:val="center"/>
      </w:pPr>
      <w:r>
        <w:rPr>
          <w:rFonts w:ascii="Times New Roman" w:hAnsi="Times New Roman" w:eastAsia="宋体"/>
          <w:b w:val="0"/>
          <w:sz w:val="21"/>
        </w:rPr>
        <w:t>图3 统一测试集主结果对比</w:t>
      </w:r>
    </w:p>
    <w:p>
      <w:pPr>
        <w:spacing w:line="360" w:lineRule="auto"/>
        <w:ind w:firstLine="476"/>
      </w:pPr>
      <w:r>
        <w:rPr>
          <w:rFonts w:ascii="Times New Roman" w:hAnsi="Times New Roman" w:eastAsia="宋体"/>
          <w:b w:val="0"/>
          <w:sz w:val="24"/>
        </w:rPr>
        <w:t>项目实验验证形成了较完整的数据支撑。项目整理形成563条样本，并冻结划分为训练集450条、测试集113条；评测集覆盖50个能力节点、45类主标签，测试集top-8候选包标准答案覆盖率为97.35%（110/113）。在统一测试集上，规则基线主标签准确率为78.76%（89/113），单智能体结构化语义判别提升至87.61%（99/113），加入默认协作复核后达到88.50%（100/113）；可接受准确率由81.42%提升至90.27%，再进一步达到91.15%。</w:t>
      </w:r>
    </w:p>
    <w:p>
      <w:pPr>
        <w:spacing w:line="360" w:lineRule="auto"/>
        <w:ind w:firstLine="476"/>
      </w:pPr>
      <w:r>
        <w:rPr>
          <w:rFonts w:ascii="Times New Roman" w:hAnsi="Times New Roman" w:eastAsia="宋体"/>
          <w:b w:val="0"/>
          <w:sz w:val="24"/>
        </w:rPr>
        <w:t>相关能力识别方面，测试集相关能力召回率由28.95%提升至36.84%，相关能力精确率由37.93%提升至42.42%。在训练集确定并冻结的扩展协作配置下，同一测试集准确率达到92.92%（105/113），测试侧改判/纠错/误改为5/5/0。配对消融样本集显示，职责化协作复核在测试侧达到92.50%，相较单角色复核和同质复核提升6.25个百分点，改判/纠错/误改为5/5/0。默认配置下，50/113个测试样本进入协作复核，触发率为44.25%，平均总模型调用当量约为3.09次/请求。</w:t>
      </w:r>
    </w:p>
    <w:p>
      <w:pPr>
        <w:spacing w:line="360" w:lineRule="auto"/>
        <w:ind w:firstLine="476"/>
      </w:pPr>
      <w:r>
        <w:rPr>
          <w:rFonts w:ascii="Times New Roman" w:hAnsi="Times New Roman" w:eastAsia="宋体"/>
          <w:b w:val="0"/>
          <w:sz w:val="24"/>
        </w:rPr>
        <w:t>上述结果表明，项目不仅完成了任务书关于原型框架、研究报告或论文、专利材料和成果展示的要求，而且通过统一冻结评测协议证明了结构化语义判别和职责化协作复核在复杂样本上的有效性，为验收提供了可量化依据。</w:t>
      </w:r>
    </w:p>
    <w:p>
      <w:pPr>
        <w:spacing w:line="360" w:lineRule="auto"/>
      </w:pPr>
      <w:r>
        <w:rPr>
          <w:rFonts w:ascii="Times New Roman" w:hAnsi="Times New Roman" w:eastAsia="黑体"/>
          <w:b/>
          <w:sz w:val="24"/>
        </w:rPr>
        <w:t>2.4 项目亮点</w:t>
      </w:r>
    </w:p>
    <w:p>
      <w:pPr>
        <w:spacing w:line="360" w:lineRule="auto"/>
        <w:ind w:firstLine="476"/>
      </w:pPr>
      <w:r>
        <w:rPr>
          <w:rFonts w:ascii="Times New Roman" w:hAnsi="Times New Roman" w:eastAsia="宋体"/>
          <w:b w:val="0"/>
          <w:sz w:val="24"/>
        </w:rPr>
        <w:t>项目亮点主要体现在五个方面。第一，项目将大模型多智能体协作研究落到互联网基础资源场景中的能力组织、候选选择、可信调用和过程留痕链路，选题具有明确场景牵引。第二，项目将开放式语义理解收敛到受限能力命名空间内的候选决策，形成主能力、相关能力和执行实例映射一体化的任务框架。第三，项目提出结构化语义判别与职责化协作复核结合的路线，使协作收益来自职责分工、结构化证据和授权规则，而不是简单增加模型轮次。第四，项目以显式授权机制控制协作改判边界，并用改判/纠错/误改指标检验净修正价值。第五，项目把可信认知标识落实为可回放过程记录，支撑样本级复盘、错误定位和后续审计扩展。</w:t>
      </w:r>
    </w:p>
    <w:p>
      <w:pPr>
        <w:spacing w:line="360" w:lineRule="auto"/>
      </w:pPr>
      <w:r>
        <w:rPr>
          <w:rFonts w:ascii="Times New Roman" w:hAnsi="Times New Roman" w:eastAsia="黑体"/>
          <w:b/>
          <w:sz w:val="28"/>
        </w:rPr>
        <w:t>三、成果转化应用情况</w:t>
      </w:r>
    </w:p>
    <w:p>
      <w:pPr>
        <w:spacing w:line="360" w:lineRule="auto"/>
        <w:ind w:firstLine="476"/>
      </w:pPr>
      <w:r>
        <w:rPr>
          <w:rFonts w:ascii="Times New Roman" w:hAnsi="Times New Roman" w:eastAsia="宋体"/>
          <w:b w:val="0"/>
          <w:sz w:val="24"/>
        </w:rPr>
        <w:t>项目直接成果主要体现为研究框架、原型验证、数据资产、技术报告、论文稿、专利申请相关材料和成果汇编。与此同时，依托项目实施过程中对智能体、多智能体协作和智能体互联网的探索研究，相关工作对智能体互联网与智能体域名方向形成了支撑性成果和外溢应用。</w:t>
      </w:r>
    </w:p>
    <w:p>
      <w:pPr>
        <w:spacing w:line="360" w:lineRule="auto"/>
        <w:ind w:firstLine="476"/>
      </w:pPr>
      <w:r>
        <w:rPr>
          <w:rFonts w:ascii="Times New Roman" w:hAnsi="Times New Roman" w:eastAsia="宋体"/>
          <w:b w:val="0"/>
          <w:sz w:val="24"/>
        </w:rPr>
        <w:t>一是支撑形成三篇专报材料。围绕智能体互联网、智能体域名系统、国际标准与治理规则等方向，相关研究支撑形成三篇专报稿，已按渠道提交。根据当前掌握情况，上述专报尚未获得部里正式采纳或批示，报送时应按“已提交、未获部里采纳”口径表述，不写成已被上级机关采用。</w:t>
      </w:r>
    </w:p>
    <w:p>
      <w:pPr>
        <w:spacing w:line="360" w:lineRule="auto"/>
        <w:ind w:firstLine="476"/>
      </w:pPr>
      <w:r>
        <w:rPr>
          <w:rFonts w:ascii="Times New Roman" w:hAnsi="Times New Roman" w:eastAsia="宋体"/>
          <w:b w:val="0"/>
          <w:sz w:val="24"/>
        </w:rPr>
        <w:t>二是支撑智能体域名原型系统形成与发布展示。项目关于能力命名、候选选择、可信过程记录和智能体服务调用入口的研究，为智能体域名原型系统提供了前期技术探索和表达支撑。相关成果在第125届IETF会议Hackathon期间开展智能体域名系统发布展示，并进一步支撑2026年4月24日智能体域名系统产品发布。</w:t>
      </w:r>
    </w:p>
    <w:p>
      <w:pPr>
        <w:spacing w:line="360" w:lineRule="auto"/>
        <w:ind w:firstLine="476"/>
      </w:pPr>
      <w:r>
        <w:rPr>
          <w:rFonts w:ascii="Times New Roman" w:hAnsi="Times New Roman" w:eastAsia="宋体"/>
          <w:b w:val="0"/>
          <w:sz w:val="24"/>
        </w:rPr>
        <w:t>三是支撑后续标准化表达和平台化建设。能力命名、结构化判断、职责化复核、显式授权和过程记录等研究成果，可为后续智能体能力描述、发现接口、可信轨迹格式、协作复核协议和运行日志规范提供技术基础。上述内容属于依托本项目形成的支撑性转化成效，不替代任务书中原型框架、研究报告或论文、专利材料和成果展示等直接考核指标。</w:t>
      </w:r>
    </w:p>
    <w:p>
      <w:pPr>
        <w:spacing w:line="360" w:lineRule="auto"/>
      </w:pPr>
      <w:r>
        <w:rPr>
          <w:rFonts w:ascii="Times New Roman" w:hAnsi="Times New Roman" w:eastAsia="黑体"/>
          <w:b/>
          <w:sz w:val="28"/>
        </w:rPr>
        <w:t>四、经费使用情况</w:t>
      </w:r>
    </w:p>
    <w:p>
      <w:pPr>
        <w:spacing w:line="360" w:lineRule="auto"/>
        <w:ind w:firstLine="476"/>
      </w:pPr>
      <w:r>
        <w:rPr>
          <w:rFonts w:ascii="Times New Roman" w:hAnsi="Times New Roman" w:eastAsia="宋体"/>
          <w:b w:val="0"/>
          <w:sz w:val="24"/>
        </w:rPr>
        <w:t>项目任务书批复经费为10万元。经费预算主要用于支撑实验算力、研发测试、成果发表、知识产权事务、专家咨询和相关材料制作等工作，服务于原型开发、数据构建、实验验证、成果撰写和知识产权凝练。</w:t>
      </w:r>
    </w:p>
    <w:p>
      <w:pPr>
        <w:spacing w:line="360" w:lineRule="auto"/>
        <w:ind w:firstLine="476"/>
      </w:pPr>
      <w:r>
        <w:rPr>
          <w:rFonts w:ascii="Times New Roman" w:hAnsi="Times New Roman" w:eastAsia="宋体"/>
          <w:b w:val="0"/>
          <w:sz w:val="24"/>
        </w:rPr>
        <w:t>实际经费支出明细、预算执行率、结余情况和财务票据情况未在当前项目材料中找到完整依据，建议由财务部门或项目管理人员根据实际报销和财务决算情况补充。本报告暂按以下口径预留：项目经费执行情况以财务部门审核结果为准，未发现可据当前材料直接填列的实际支出明细。</w:t>
      </w:r>
    </w:p>
    <w:p>
      <w:pPr>
        <w:spacing w:line="360" w:lineRule="auto"/>
      </w:pPr>
      <w:r>
        <w:rPr>
          <w:rFonts w:ascii="Times New Roman" w:hAnsi="Times New Roman" w:eastAsia="黑体"/>
          <w:b/>
          <w:sz w:val="28"/>
        </w:rPr>
        <w:t>五、组织管理情况</w:t>
      </w:r>
    </w:p>
    <w:p>
      <w:pPr>
        <w:spacing w:line="360" w:lineRule="auto"/>
      </w:pPr>
      <w:r>
        <w:rPr>
          <w:rFonts w:ascii="Times New Roman" w:hAnsi="Times New Roman" w:eastAsia="黑体"/>
          <w:b/>
          <w:sz w:val="24"/>
        </w:rPr>
        <w:t>5.1实施进度、质量、人员投入等方面</w:t>
      </w:r>
    </w:p>
    <w:p>
      <w:pPr>
        <w:spacing w:line="360" w:lineRule="auto"/>
        <w:ind w:firstLine="476"/>
      </w:pPr>
      <w:r>
        <w:rPr>
          <w:rFonts w:ascii="Times New Roman" w:hAnsi="Times New Roman" w:eastAsia="宋体"/>
          <w:b w:val="0"/>
          <w:sz w:val="24"/>
        </w:rPr>
        <w:t>项目总体按照任务书规定周期推进。2025年5月至2025年6月，主要完成多智能体协作框架雏形、典型验证场景选择和原型展示结构；2025年7月至2025年9月，开展能力命名空间、候选集合构造和可信过程记录机制探索；2025年10月至2026年1月，优化结构化语义判别、职责化协作复核和显式授权机制，围绕典型任务开展评测；2026年2月至2026年4月，集中完成数据资产冻结、实验验证、成果凝练、专利材料、技术报告、论文稿、宣传稿和验收支撑材料整理。</w:t>
      </w:r>
    </w:p>
    <w:p>
      <w:pPr>
        <w:spacing w:line="360" w:lineRule="auto"/>
        <w:ind w:firstLine="476"/>
      </w:pPr>
      <w:r>
        <w:rPr>
          <w:rFonts w:ascii="Times New Roman" w:hAnsi="Times New Roman" w:eastAsia="宋体"/>
          <w:b w:val="0"/>
          <w:sz w:val="24"/>
        </w:rPr>
        <w:t>质量管理方面，项目采用固定能力命名空间、冻结训练/测试划分、统一候选生成配置、结构化模型输出格式、协作触发与授权规则以及样本级过程记录等方式控制实验口径。测试集用于固定配置后的一次性结果报告，扩展协作配置的触发阈值与授权门槛在训练集确定，避免在测试集上反复调参。</w:t>
      </w:r>
    </w:p>
    <w:p>
      <w:pPr>
        <w:spacing w:line="360" w:lineRule="auto"/>
        <w:ind w:firstLine="476"/>
      </w:pPr>
      <w:r>
        <w:rPr>
          <w:rFonts w:ascii="Times New Roman" w:hAnsi="Times New Roman" w:eastAsia="宋体"/>
          <w:b w:val="0"/>
          <w:sz w:val="24"/>
        </w:rPr>
        <w:t>人员投入方面，项目负责人邓斯宇负责项目总体设计、算法实现、原型构建、实验研究与成果撰写；项目组围绕研究指导、技术讨论、业务任务适配、实验验证和成果材料完善开展协作。具体参与人名单和工作量建议以任务书、立项材料或处所管理记录为准。</w:t>
      </w:r>
    </w:p>
    <w:p>
      <w:pPr>
        <w:spacing w:line="360" w:lineRule="auto"/>
      </w:pPr>
      <w:r>
        <w:rPr>
          <w:rFonts w:ascii="Times New Roman" w:hAnsi="Times New Roman" w:eastAsia="黑体"/>
          <w:b/>
          <w:sz w:val="24"/>
        </w:rPr>
        <w:t>5.2产学研用合作情况</w:t>
      </w:r>
    </w:p>
    <w:p>
      <w:pPr>
        <w:spacing w:line="360" w:lineRule="auto"/>
        <w:ind w:firstLine="476"/>
      </w:pPr>
      <w:r>
        <w:rPr>
          <w:rFonts w:ascii="Times New Roman" w:hAnsi="Times New Roman" w:eastAsia="宋体"/>
          <w:b w:val="0"/>
          <w:sz w:val="24"/>
        </w:rPr>
        <w:t>当前项目材料中未发现可直接证明外部产学研用合作、联合研发、外部试点应用或正式采用的记录。项目主要由中国互联网络信息中心技术发展所组织实施，围绕内部研究、原型验证和成果凝练开展。若项目实施过程中存在外部合作交流、专家咨询、论文投稿评审、业务部门试用或演示反馈，建议在最终报送前补充会议纪要、邮件记录、评审意见或应用证明材料。</w:t>
      </w:r>
    </w:p>
    <w:p>
      <w:pPr>
        <w:spacing w:line="360" w:lineRule="auto"/>
      </w:pPr>
      <w:r>
        <w:rPr>
          <w:rFonts w:ascii="Times New Roman" w:hAnsi="Times New Roman" w:eastAsia="黑体"/>
          <w:b/>
          <w:sz w:val="28"/>
        </w:rPr>
        <w:t>六、存在问题及建议</w:t>
      </w:r>
    </w:p>
    <w:p>
      <w:pPr>
        <w:spacing w:line="360" w:lineRule="auto"/>
        <w:ind w:firstLine="476"/>
      </w:pPr>
      <w:r>
        <w:rPr>
          <w:rFonts w:ascii="Times New Roman" w:hAnsi="Times New Roman" w:eastAsia="宋体"/>
          <w:b w:val="0"/>
          <w:sz w:val="24"/>
        </w:rPr>
        <w:t>项目当前仍存在四方面需要进一步完善的事项。第一，当前样本规模能够支撑方法比较和机制分析，更大范围应用仍需引入更多来源、更广覆盖、更独立的验证样本。第二，当前实验已使用调用复杂度代理刻画成本，真实运行中的token、时延、接口稳定性、失败恢复和资源消耗日志需要进一步统一记录。第三，执行实例映射已形成原型模块和接口约束，完整运行环境、业务系统和端到端服务调用链路联调需要继续推进。第四，当前可信过程记录主要处于工程可审计、可复盘层面，如面向更强安全场景，还需要补充签名、哈希链、访问控制和篡改检测等机制。</w:t>
      </w:r>
    </w:p>
    <w:p>
      <w:pPr>
        <w:spacing w:line="360" w:lineRule="auto"/>
        <w:ind w:firstLine="476"/>
      </w:pPr>
      <w:r>
        <w:rPr>
          <w:rFonts w:ascii="Times New Roman" w:hAnsi="Times New Roman" w:eastAsia="宋体"/>
          <w:b w:val="0"/>
          <w:sz w:val="24"/>
        </w:rPr>
        <w:t>建议后续围绕四个方向深化工作：一是扩展独立验证样本和能力命名空间，检验方法在更多业务语义和动态能力目录中的稳定性；二是完善质量、成本、时延和运行稳定性日志，形成面向部署场景的综合评估体系；三是推进执行实例映射与真实服务调用环境联调，补充端到端任务成功率、失败恢复和用户确认机制；四是深化可信认知标识机制，将当前结构化过程记录扩展为更规范的审计链、证明链和标准化接口。</w:t>
      </w:r>
    </w:p>
    <w:p>
      <w:pPr>
        <w:spacing w:line="360" w:lineRule="auto"/>
      </w:pPr>
      <w:r>
        <w:rPr>
          <w:rFonts w:ascii="Times New Roman" w:hAnsi="Times New Roman" w:eastAsia="黑体"/>
          <w:b/>
          <w:sz w:val="28"/>
        </w:rPr>
        <w:t>七、有关证明材料</w:t>
      </w:r>
    </w:p>
    <w:p>
      <w:pPr>
        <w:spacing w:line="360" w:lineRule="auto"/>
        <w:ind w:firstLine="476"/>
      </w:pPr>
      <w:r>
        <w:rPr>
          <w:rFonts w:ascii="Times New Roman" w:hAnsi="Times New Roman" w:eastAsia="宋体"/>
          <w:b w:val="0"/>
          <w:sz w:val="24"/>
        </w:rPr>
        <w:t>建议随验收报告一并提交或备查以下证明材料：</w:t>
      </w:r>
    </w:p>
    <w:p>
      <w:pPr>
        <w:spacing w:line="360" w:lineRule="auto"/>
        <w:ind w:firstLine="476"/>
      </w:pPr>
      <w:r>
        <w:rPr>
          <w:rFonts w:ascii="Times New Roman" w:hAnsi="Times New Roman" w:eastAsia="宋体"/>
          <w:b w:val="0"/>
          <w:sz w:val="24"/>
        </w:rPr>
        <w:t>1. 自立科研项目任务书；</w:t>
      </w:r>
    </w:p>
    <w:p>
      <w:pPr>
        <w:spacing w:line="360" w:lineRule="auto"/>
        <w:ind w:firstLine="476"/>
      </w:pPr>
      <w:r>
        <w:rPr>
          <w:rFonts w:ascii="Times New Roman" w:hAnsi="Times New Roman" w:eastAsia="宋体"/>
          <w:b w:val="0"/>
          <w:sz w:val="24"/>
        </w:rPr>
        <w:t>2. 技术研究报告《面向互联网基础资源的大模型多智能体协作与可信认知标识技术研究》；</w:t>
      </w:r>
    </w:p>
    <w:p>
      <w:pPr>
        <w:spacing w:line="360" w:lineRule="auto"/>
        <w:ind w:firstLine="476"/>
      </w:pPr>
      <w:r>
        <w:rPr>
          <w:rFonts w:ascii="Times New Roman" w:hAnsi="Times New Roman" w:eastAsia="宋体"/>
          <w:b w:val="0"/>
          <w:sz w:val="24"/>
        </w:rPr>
        <w:t>3. 论文投稿稿及相关实验结果材料；</w:t>
      </w:r>
    </w:p>
    <w:p>
      <w:pPr>
        <w:spacing w:line="360" w:lineRule="auto"/>
        <w:ind w:firstLine="476"/>
      </w:pPr>
      <w:r>
        <w:rPr>
          <w:rFonts w:ascii="Times New Roman" w:hAnsi="Times New Roman" w:eastAsia="宋体"/>
          <w:b w:val="0"/>
          <w:sz w:val="24"/>
        </w:rPr>
        <w:t>4. 原型系统说明、运行截图、演示材料或汇报材料；</w:t>
      </w:r>
    </w:p>
    <w:p>
      <w:pPr>
        <w:spacing w:line="360" w:lineRule="auto"/>
        <w:ind w:firstLine="476"/>
      </w:pPr>
      <w:r>
        <w:rPr>
          <w:rFonts w:ascii="Times New Roman" w:hAnsi="Times New Roman" w:eastAsia="宋体"/>
          <w:b w:val="0"/>
          <w:sz w:val="24"/>
        </w:rPr>
        <w:t>5. 实验数据说明、评测结果表、图表材料和样本划分说明；</w:t>
      </w:r>
    </w:p>
    <w:p>
      <w:pPr>
        <w:spacing w:line="360" w:lineRule="auto"/>
        <w:ind w:firstLine="476"/>
      </w:pPr>
      <w:r>
        <w:rPr>
          <w:rFonts w:ascii="Times New Roman" w:hAnsi="Times New Roman" w:eastAsia="宋体"/>
          <w:b w:val="0"/>
          <w:sz w:val="24"/>
        </w:rPr>
        <w:t>6. 发明专利申请材料、技术交底书、权利要求书、说明书摘要、说明书附图及申请材料汇编；</w:t>
      </w:r>
    </w:p>
    <w:p>
      <w:pPr>
        <w:spacing w:line="360" w:lineRule="auto"/>
        <w:ind w:firstLine="476"/>
      </w:pPr>
      <w:r>
        <w:rPr>
          <w:rFonts w:ascii="Times New Roman" w:hAnsi="Times New Roman" w:eastAsia="宋体"/>
          <w:b w:val="0"/>
          <w:sz w:val="24"/>
        </w:rPr>
        <w:t>7. 项目成果汇编、成果宣传稿、安全公开版宣传稿和相关图示材料；</w:t>
      </w:r>
    </w:p>
    <w:p>
      <w:pPr>
        <w:spacing w:line="360" w:lineRule="auto"/>
        <w:ind w:firstLine="476"/>
      </w:pPr>
      <w:r>
        <w:rPr>
          <w:rFonts w:ascii="Times New Roman" w:hAnsi="Times New Roman" w:eastAsia="宋体"/>
          <w:b w:val="0"/>
          <w:sz w:val="24"/>
        </w:rPr>
        <w:t>8. 智能体互联网与智能体域名方向三篇专报稿、提交记录及未获部里采纳情况说明（如需）；</w:t>
      </w:r>
    </w:p>
    <w:p>
      <w:pPr>
        <w:spacing w:line="360" w:lineRule="auto"/>
        <w:ind w:firstLine="476"/>
      </w:pPr>
      <w:r>
        <w:rPr>
          <w:rFonts w:ascii="Times New Roman" w:hAnsi="Times New Roman" w:eastAsia="宋体"/>
          <w:b w:val="0"/>
          <w:sz w:val="24"/>
        </w:rPr>
        <w:t>9. 智能体域名原型系统说明、IETF 125 Hackathon发布展示材料、2026年4月24日智能体域名系统产品发布材料；</w:t>
      </w:r>
    </w:p>
    <w:p>
      <w:pPr>
        <w:spacing w:line="360" w:lineRule="auto"/>
        <w:ind w:firstLine="476"/>
      </w:pPr>
      <w:r>
        <w:rPr>
          <w:rFonts w:ascii="Times New Roman" w:hAnsi="Times New Roman" w:eastAsia="宋体"/>
          <w:b w:val="0"/>
          <w:sz w:val="24"/>
        </w:rPr>
        <w:t>10. 对内成果展示、专家咨询、业务交流或演示反馈证明材料（如有）；</w:t>
      </w:r>
    </w:p>
    <w:p>
      <w:pPr>
        <w:spacing w:line="360" w:lineRule="auto"/>
        <w:ind w:firstLine="476"/>
      </w:pPr>
      <w:r>
        <w:rPr>
          <w:rFonts w:ascii="Times New Roman" w:hAnsi="Times New Roman" w:eastAsia="宋体"/>
          <w:b w:val="0"/>
          <w:sz w:val="24"/>
        </w:rPr>
        <w:t>11. 经费执行、财务决算和票据证明材料（由财务或项目管理人员补充）。</w:t>
      </w:r>
    </w:p>
    <w:p>
      <w:pPr>
        <w:spacing w:line="360" w:lineRule="auto"/>
      </w:pPr>
      <w:r>
        <w:rPr>
          <w:rFonts w:ascii="Times New Roman" w:hAnsi="Times New Roman" w:eastAsia="黑体"/>
          <w:b/>
          <w:sz w:val="28"/>
        </w:rPr>
        <w:t>八、审批意见</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32"/>
        <w:gridCol w:w="4532"/>
      </w:tblGrid>
      <w:tr>
        <w:tc>
          <w:tcPr>
            <w:tcW w:type="dxa" w:w="4532"/>
          </w:tcPr>
          <w:p>
            <w:r/>
            <w:r>
              <w:rPr>
                <w:rFonts w:ascii="Times New Roman" w:hAnsi="Times New Roman" w:eastAsia="宋体"/>
                <w:b w:val="0"/>
                <w:sz w:val="24"/>
              </w:rPr>
              <w:t>项目负责人意见</w:t>
            </w:r>
          </w:p>
        </w:tc>
        <w:tc>
          <w:tcPr>
            <w:tcW w:type="dxa" w:w="4532"/>
          </w:tcPr>
          <w:p>
            <w:r/>
            <w:r>
              <w:rPr>
                <w:rFonts w:ascii="Times New Roman" w:hAnsi="Times New Roman" w:eastAsia="宋体"/>
                <w:b w:val="0"/>
                <w:sz w:val="24"/>
              </w:rPr>
              <w:t>项目负责人签字：</w:t>
              <w:br/>
              <w:br/>
              <w:t xml:space="preserve">          年   月   日</w:t>
            </w:r>
          </w:p>
        </w:tc>
      </w:tr>
      <w:tr>
        <w:tc>
          <w:tcPr>
            <w:tcW w:type="dxa" w:w="4532"/>
          </w:tcPr>
          <w:p>
            <w:r/>
            <w:r>
              <w:rPr>
                <w:rFonts w:ascii="Times New Roman" w:hAnsi="Times New Roman" w:eastAsia="宋体"/>
                <w:b w:val="0"/>
                <w:sz w:val="24"/>
              </w:rPr>
              <w:t>承研处所负责人意见</w:t>
            </w:r>
          </w:p>
        </w:tc>
        <w:tc>
          <w:tcPr>
            <w:tcW w:type="dxa" w:w="4532"/>
          </w:tcPr>
          <w:p>
            <w:r/>
            <w:r>
              <w:rPr>
                <w:rFonts w:ascii="Times New Roman" w:hAnsi="Times New Roman" w:eastAsia="宋体"/>
                <w:b w:val="0"/>
                <w:sz w:val="24"/>
              </w:rPr>
              <w:t>承研处所负责人签字：</w:t>
              <w:br/>
              <w:br/>
              <w:t xml:space="preserve">          年   月   日</w:t>
            </w:r>
          </w:p>
        </w:tc>
      </w:tr>
      <w:tr>
        <w:tc>
          <w:tcPr>
            <w:tcW w:type="dxa" w:w="4532"/>
          </w:tcPr>
          <w:p>
            <w:r/>
            <w:r>
              <w:rPr>
                <w:rFonts w:ascii="Times New Roman" w:hAnsi="Times New Roman" w:eastAsia="宋体"/>
                <w:b w:val="0"/>
                <w:sz w:val="24"/>
              </w:rPr>
              <w:t>分管领导意见</w:t>
            </w:r>
          </w:p>
        </w:tc>
        <w:tc>
          <w:tcPr>
            <w:tcW w:type="dxa" w:w="4532"/>
          </w:tcPr>
          <w:p>
            <w:r/>
            <w:r>
              <w:rPr>
                <w:rFonts w:ascii="Times New Roman" w:hAnsi="Times New Roman" w:eastAsia="宋体"/>
                <w:b w:val="0"/>
                <w:sz w:val="24"/>
              </w:rPr>
              <w:t>分管领导签字：</w:t>
              <w:br/>
              <w:br/>
              <w:t xml:space="preserve">          年   月   日</w:t>
            </w:r>
          </w:p>
        </w:tc>
      </w:tr>
      <w:tr>
        <w:tc>
          <w:tcPr>
            <w:tcW w:type="dxa" w:w="4532"/>
          </w:tcPr>
          <w:p>
            <w:r/>
            <w:r>
              <w:rPr>
                <w:rFonts w:ascii="Times New Roman" w:hAnsi="Times New Roman" w:eastAsia="宋体"/>
                <w:b w:val="0"/>
                <w:sz w:val="24"/>
              </w:rPr>
              <w:t>组织实施单位意见</w:t>
            </w:r>
          </w:p>
        </w:tc>
        <w:tc>
          <w:tcPr>
            <w:tcW w:type="dxa" w:w="4532"/>
          </w:tcPr>
          <w:p>
            <w:r/>
            <w:r>
              <w:rPr>
                <w:rFonts w:ascii="Times New Roman" w:hAnsi="Times New Roman" w:eastAsia="宋体"/>
                <w:b w:val="0"/>
                <w:sz w:val="24"/>
              </w:rPr>
              <w:t>（加盖中心公章）</w:t>
              <w:br/>
              <w:br/>
              <w:t xml:space="preserve">          年   月   日</w:t>
            </w:r>
          </w:p>
        </w:tc>
      </w:tr>
    </w:tbl>
    <w:p/>
    <w:p/>
    <w:p/>
    <w:p/>
    <w:p/>
    <w:p/>
    <w:p/>
    <w:p/>
    <w:p/>
    <w:p/>
    <w:p/>
    <w:p/>
    <w:p/>
    <w:p/>
    <w:p/>
    <w:p/>
    <w:p/>
    <w:p/>
    <w:p/>
    <w:p/>
    <w:p/>
    <w:p/>
    <w:p/>
    <w:p/>
    <w:p/>
    <w:p/>
    <w:p/>
    <w:p/>
    <w:p/>
    <w:p/>
    <w:p/>
    <w:p/>
    <w:p/>
    <w:p/>
    <w:p/>
    <w:p/>
    <w:p/>
    <w:p/>
    <w:p/>
    <w:p/>
    <w:p/>
    <w:p/>
    <w:p/>
    <w:p/>
    <w:p/>
    <w:p/>
    <w:p/>
    <w:p/>
    <w:p/>
    <w:p/>
    <w:p/>
    <w:p/>
    <w:p/>
    <w:p/>
    <w:p/>
    <w:sectPr w:rsidR="00FC693F" w:rsidRPr="0006063C" w:rsidSect="00034616">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