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黑体"/>
          <w:b/>
          <w:sz w:val="32"/>
        </w:rPr>
        <w:t>说明书附图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sz w:val="28"/>
        </w:rPr>
        <w:t>一种面向智能体语义寻址与执行发现的受约束多阶段路由决策方法、系统、设备及存储介质</w:t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sz w:val="24"/>
        </w:rPr>
        <w:t>图1 总体流程示意图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7552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总体流程示意图.sv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755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sz w:val="24"/>
        </w:rPr>
        <w:t>图2 两层地址关系示意图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604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两层地址关系示意图.sv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0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sz w:val="24"/>
        </w:rPr>
        <w:t>图3 异质共识与覆盖控制结构示意图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65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异质共识与覆盖控制结构示意图.sv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65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sz w:val="24"/>
        </w:rPr>
        <w:t>图4 实例过滤与排序过程示意图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7285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实例过滤与排序过程示意图.sv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72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120" w:after="120"/>
        <w:jc w:val="center"/>
      </w:pPr>
      <w:r>
        <w:rPr>
          <w:rFonts w:ascii="Times New Roman" w:hAnsi="Times New Roman" w:eastAsia="宋体"/>
          <w:b w:val="0"/>
          <w:sz w:val="24"/>
        </w:rPr>
        <w:t>图5 结构化决策轨迹数据组织示意图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609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结构化决策轨迹数据组织示意图.sv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609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