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28"/>
        </w:rPr>
        <w:t>自立科研项目进度情况统计表</w:t>
      </w:r>
    </w:p>
    <w:tbl>
      <w:tblPr>
        <w:tblStyle w:val="TableGrid"/>
        <w:tblW w:type="auto" w:w="0"/>
        <w:jc w:val="center"/>
        <w:tblLook w:firstColumn="1" w:firstRow="1" w:lastColumn="0" w:lastRow="0" w:noHBand="0" w:noVBand="1" w:val="04A0"/>
      </w:tblPr>
      <w:tblGrid>
        <w:gridCol w:w="2069"/>
        <w:gridCol w:w="2069"/>
        <w:gridCol w:w="2069"/>
        <w:gridCol w:w="2069"/>
        <w:gridCol w:w="2069"/>
        <w:gridCol w:w="2069"/>
        <w:gridCol w:w="2069"/>
      </w:tblGrid>
      <w:tr>
        <w:tc>
          <w:tcPr>
            <w:tcW w:type="dxa" w:w="624"/>
            <w:vAlign w:val="center"/>
          </w:tcPr>
          <w:p>
            <w:pPr>
              <w:spacing w:line="240" w:lineRule="auto" w:before="0" w:after="0"/>
              <w:jc w:val="center"/>
            </w:pPr>
            <w:r/>
            <w:r>
              <w:rPr>
                <w:rFonts w:ascii="SimSun" w:hAnsi="SimSun" w:eastAsia="SimSun"/>
                <w:b/>
                <w:sz w:val="21"/>
              </w:rPr>
              <w:t>序号</w:t>
            </w:r>
          </w:p>
        </w:tc>
        <w:tc>
          <w:tcPr>
            <w:tcW w:type="dxa" w:w="2381"/>
            <w:vAlign w:val="center"/>
          </w:tcPr>
          <w:p>
            <w:pPr>
              <w:spacing w:line="240" w:lineRule="auto" w:before="0" w:after="0"/>
              <w:jc w:val="center"/>
            </w:pPr>
            <w:r/>
            <w:r>
              <w:rPr>
                <w:rFonts w:ascii="SimSun" w:hAnsi="SimSun" w:eastAsia="SimSun"/>
                <w:b/>
                <w:sz w:val="21"/>
              </w:rPr>
              <w:t>项目名称</w:t>
            </w:r>
          </w:p>
        </w:tc>
        <w:tc>
          <w:tcPr>
            <w:tcW w:type="dxa" w:w="3402"/>
            <w:vAlign w:val="center"/>
          </w:tcPr>
          <w:p>
            <w:pPr>
              <w:spacing w:line="240" w:lineRule="auto" w:before="0" w:after="0"/>
              <w:jc w:val="center"/>
            </w:pPr>
            <w:r/>
            <w:r>
              <w:rPr>
                <w:rFonts w:ascii="SimSun" w:hAnsi="SimSun" w:eastAsia="SimSun"/>
                <w:b/>
                <w:sz w:val="21"/>
              </w:rPr>
              <w:t>研究内容</w:t>
            </w:r>
          </w:p>
        </w:tc>
        <w:tc>
          <w:tcPr>
            <w:tcW w:type="dxa" w:w="2891"/>
            <w:vAlign w:val="center"/>
          </w:tcPr>
          <w:p>
            <w:pPr>
              <w:spacing w:line="240" w:lineRule="auto" w:before="0" w:after="0"/>
              <w:jc w:val="center"/>
            </w:pPr>
            <w:r/>
            <w:r>
              <w:rPr>
                <w:rFonts w:ascii="SimSun" w:hAnsi="SimSun" w:eastAsia="SimSun"/>
                <w:b/>
                <w:sz w:val="21"/>
              </w:rPr>
              <w:t>考核指标和预期成果</w:t>
            </w:r>
          </w:p>
        </w:tc>
        <w:tc>
          <w:tcPr>
            <w:tcW w:type="dxa" w:w="4082"/>
            <w:vAlign w:val="center"/>
          </w:tcPr>
          <w:p>
            <w:pPr>
              <w:spacing w:line="240" w:lineRule="auto" w:before="0" w:after="0"/>
              <w:jc w:val="center"/>
            </w:pPr>
            <w:r/>
            <w:r>
              <w:rPr>
                <w:rFonts w:ascii="SimSun" w:hAnsi="SimSun" w:eastAsia="SimSun"/>
                <w:b/>
                <w:sz w:val="21"/>
              </w:rPr>
              <w:t>指标和成果完成进展</w:t>
            </w:r>
          </w:p>
        </w:tc>
        <w:tc>
          <w:tcPr>
            <w:tcW w:type="dxa" w:w="3628"/>
            <w:vAlign w:val="center"/>
          </w:tcPr>
          <w:p>
            <w:pPr>
              <w:spacing w:line="240" w:lineRule="auto" w:before="0" w:after="0"/>
              <w:jc w:val="center"/>
            </w:pPr>
            <w:r/>
            <w:r>
              <w:rPr>
                <w:rFonts w:ascii="SimSun" w:hAnsi="SimSun" w:eastAsia="SimSun"/>
                <w:b/>
                <w:sz w:val="21"/>
              </w:rPr>
              <w:t>项目典型成果/特色/亮点(如有)</w:t>
            </w:r>
          </w:p>
        </w:tc>
        <w:tc>
          <w:tcPr>
            <w:tcW w:type="dxa" w:w="2211"/>
            <w:vAlign w:val="center"/>
          </w:tcPr>
          <w:p>
            <w:pPr>
              <w:spacing w:line="240" w:lineRule="auto" w:before="0" w:after="0"/>
              <w:jc w:val="center"/>
            </w:pPr>
            <w:r/>
            <w:r>
              <w:rPr>
                <w:rFonts w:ascii="SimSun" w:hAnsi="SimSun" w:eastAsia="SimSun"/>
                <w:b/>
                <w:sz w:val="21"/>
              </w:rPr>
              <w:t>总体进度及预计完成时间</w:t>
            </w:r>
          </w:p>
        </w:tc>
      </w:tr>
      <w:tr>
        <w:tc>
          <w:tcPr>
            <w:tcW w:type="dxa" w:w="624"/>
            <w:vAlign w:val="center"/>
          </w:tcPr>
          <w:p>
            <w:pPr>
              <w:spacing w:line="240" w:lineRule="auto" w:before="0" w:after="0"/>
              <w:jc w:val="center"/>
            </w:pPr>
            <w:r/>
            <w:r>
              <w:rPr>
                <w:rFonts w:ascii="SimSun" w:hAnsi="SimSun" w:eastAsia="SimSun"/>
                <w:b w:val="0"/>
                <w:sz w:val="20"/>
              </w:rPr>
              <w:t>1</w:t>
            </w:r>
          </w:p>
        </w:tc>
        <w:tc>
          <w:tcPr>
            <w:tcW w:type="dxa" w:w="2381"/>
            <w:vAlign w:val="center"/>
          </w:tcPr>
          <w:p>
            <w:pPr>
              <w:spacing w:line="240" w:lineRule="auto" w:before="0" w:after="0"/>
              <w:jc w:val="left"/>
            </w:pPr>
            <w:r/>
            <w:r>
              <w:rPr>
                <w:rFonts w:ascii="SimSun" w:hAnsi="SimSun" w:eastAsia="SimSun"/>
                <w:b w:val="0"/>
                <w:sz w:val="20"/>
              </w:rPr>
              <w:t>面向互联网基础资源的大模型多智能体协作与可信认知标识技术研究</w:t>
            </w:r>
          </w:p>
        </w:tc>
        <w:tc>
          <w:tcPr>
            <w:tcW w:type="dxa" w:w="3402"/>
            <w:vAlign w:val="center"/>
          </w:tcPr>
          <w:p>
            <w:pPr>
              <w:spacing w:line="240" w:lineRule="auto" w:before="0" w:after="0"/>
              <w:jc w:val="left"/>
            </w:pPr>
            <w:r/>
            <w:r>
              <w:rPr>
                <w:rFonts w:ascii="SimSun" w:hAnsi="SimSun" w:eastAsia="SimSun"/>
                <w:b w:val="0"/>
                <w:sz w:val="20"/>
              </w:rPr>
              <w:t>针对互联网基础资源场景下的智能体命名与寻址路由问题，围绕多智能体协作与可信认知标识目标，重点开展以下工作：</w:t>
            </w:r>
          </w:p>
          <w:p>
            <w:pPr>
              <w:spacing w:line="240" w:lineRule="auto" w:before="0" w:after="0"/>
              <w:jc w:val="left"/>
            </w:pPr>
            <w:r>
              <w:rPr>
                <w:rFonts w:ascii="SimSun" w:hAnsi="SimSun" w:eastAsia="SimSun"/>
                <w:b w:val="0"/>
                <w:sz w:val="20"/>
              </w:rPr>
              <w:t>1. 研究命名空间语义召回、单智能体决策和多智能体共识的协同机制。</w:t>
            </w:r>
          </w:p>
          <w:p>
            <w:pPr>
              <w:spacing w:line="240" w:lineRule="auto" w:before="0" w:after="0"/>
              <w:jc w:val="left"/>
            </w:pPr>
            <w:r>
              <w:rPr>
                <w:rFonts w:ascii="SimSun" w:hAnsi="SimSun" w:eastAsia="SimSun"/>
                <w:b w:val="0"/>
                <w:sz w:val="20"/>
              </w:rPr>
              <w:t>2. 建设数据样本、标注规范和评测流程，验证系统稳定性、可控性与可解释性。</w:t>
            </w:r>
          </w:p>
          <w:p>
            <w:pPr>
              <w:spacing w:line="240" w:lineRule="auto" w:before="0" w:after="0"/>
              <w:jc w:val="left"/>
            </w:pPr>
            <w:r>
              <w:rPr>
                <w:rFonts w:ascii="SimSun" w:hAnsi="SimSun" w:eastAsia="SimSun"/>
                <w:b w:val="0"/>
                <w:sz w:val="20"/>
              </w:rPr>
              <w:t>3. 结合项目结项要求，凝练研究报告、专利和演示材料。</w:t>
            </w:r>
          </w:p>
        </w:tc>
        <w:tc>
          <w:tcPr>
            <w:tcW w:type="dxa" w:w="2891"/>
            <w:vAlign w:val="center"/>
          </w:tcPr>
          <w:p>
            <w:pPr>
              <w:spacing w:line="240" w:lineRule="auto" w:before="0" w:after="0"/>
              <w:jc w:val="left"/>
            </w:pPr>
            <w:r/>
            <w:r>
              <w:rPr>
                <w:rFonts w:ascii="SimSun" w:hAnsi="SimSun" w:eastAsia="SimSun"/>
                <w:b w:val="0"/>
                <w:sz w:val="20"/>
              </w:rPr>
              <w:t>1. 形成1套多智能体协作原型框架。</w:t>
            </w:r>
          </w:p>
          <w:p>
            <w:pPr>
              <w:spacing w:line="240" w:lineRule="auto" w:before="0" w:after="0"/>
              <w:jc w:val="left"/>
            </w:pPr>
            <w:r>
              <w:rPr>
                <w:rFonts w:ascii="SimSun" w:hAnsi="SimSun" w:eastAsia="SimSun"/>
                <w:b w:val="0"/>
                <w:sz w:val="20"/>
              </w:rPr>
              <w:t>2. 形成技术研究报告或论文材料1份。</w:t>
            </w:r>
          </w:p>
          <w:p>
            <w:pPr>
              <w:spacing w:line="240" w:lineRule="auto" w:before="0" w:after="0"/>
              <w:jc w:val="left"/>
            </w:pPr>
            <w:r>
              <w:rPr>
                <w:rFonts w:ascii="SimSun" w:hAnsi="SimSun" w:eastAsia="SimSun"/>
                <w:b w:val="0"/>
                <w:sz w:val="20"/>
              </w:rPr>
              <w:t>3. 形成发明专利申请或技术交底相关材料1项。</w:t>
            </w:r>
          </w:p>
          <w:p>
            <w:pPr>
              <w:spacing w:line="240" w:lineRule="auto" w:before="0" w:after="0"/>
              <w:jc w:val="left"/>
            </w:pPr>
            <w:r>
              <w:rPr>
                <w:rFonts w:ascii="SimSun" w:hAnsi="SimSun" w:eastAsia="SimSun"/>
                <w:b w:val="0"/>
                <w:sz w:val="20"/>
              </w:rPr>
              <w:t>4. 完成1次对内成果展示/演示准备。</w:t>
            </w:r>
          </w:p>
          <w:p>
            <w:pPr>
              <w:spacing w:line="240" w:lineRule="auto" w:before="0" w:after="0"/>
              <w:jc w:val="left"/>
            </w:pPr>
            <w:r>
              <w:rPr>
                <w:rFonts w:ascii="SimSun" w:hAnsi="SimSun" w:eastAsia="SimSun"/>
                <w:b w:val="0"/>
                <w:sz w:val="20"/>
              </w:rPr>
              <w:t>5. 形成数据集、标注指南和实验结果材料。</w:t>
            </w:r>
          </w:p>
        </w:tc>
        <w:tc>
          <w:tcPr>
            <w:tcW w:type="dxa" w:w="4082"/>
            <w:vAlign w:val="center"/>
          </w:tcPr>
          <w:p>
            <w:pPr>
              <w:spacing w:line="240" w:lineRule="auto" w:before="0" w:after="0"/>
              <w:jc w:val="left"/>
            </w:pPr>
            <w:r/>
            <w:r>
              <w:rPr>
                <w:rFonts w:ascii="SimSun" w:hAnsi="SimSun" w:eastAsia="SimSun"/>
                <w:b w:val="0"/>
                <w:sz w:val="20"/>
              </w:rPr>
              <w:t>1. 已基本完成原型主干代码与实验链路，形成 Stage R、Stage A clean、Stage A llm、Stage B packetv2 等核心模块。</w:t>
            </w:r>
          </w:p>
          <w:p>
            <w:pPr>
              <w:spacing w:line="240" w:lineRule="auto" w:before="0" w:after="0"/>
              <w:jc w:val="left"/>
            </w:pPr>
            <w:r>
              <w:rPr>
                <w:rFonts w:ascii="SimSun" w:hAnsi="SimSun" w:eastAsia="SimSun"/>
                <w:b w:val="0"/>
                <w:sz w:val="20"/>
              </w:rPr>
              <w:t>2. 已完成 formal 数据集109条和 holdout2 数据集54条构建与校验，具备继续支撑结项材料整理的基础。</w:t>
            </w:r>
          </w:p>
          <w:p>
            <w:pPr>
              <w:spacing w:line="240" w:lineRule="auto" w:before="0" w:after="0"/>
              <w:jc w:val="left"/>
            </w:pPr>
            <w:r>
              <w:rPr>
                <w:rFonts w:ascii="SimSun" w:hAnsi="SimSun" w:eastAsia="SimSun"/>
                <w:b w:val="0"/>
                <w:sz w:val="20"/>
              </w:rPr>
              <w:t>3. 已完成 dev、blind、challenge、holdout2 一轮对照评测，当前 A_llm_v2 在 blind/challenge/holdout2 上的 PrimaryAcc@1 分别为 0.9143、0.6250、0.8889，接入 Stage B packetv2 后提升至 0.9143、0.6667、0.9074。</w:t>
            </w:r>
          </w:p>
          <w:p>
            <w:pPr>
              <w:spacing w:line="240" w:lineRule="auto" w:before="0" w:after="0"/>
              <w:jc w:val="left"/>
            </w:pPr>
            <w:r>
              <w:rPr>
                <w:rFonts w:ascii="SimSun" w:hAnsi="SimSun" w:eastAsia="SimSun"/>
                <w:b w:val="0"/>
                <w:sz w:val="20"/>
              </w:rPr>
              <w:t>4. 已形成论文蓝图、专利蓝图、答辩提纲和 Demo runbook，研究报告、专利文本和正式展示材料仍在整理完善。</w:t>
            </w:r>
          </w:p>
        </w:tc>
        <w:tc>
          <w:tcPr>
            <w:tcW w:type="dxa" w:w="3628"/>
            <w:vAlign w:val="center"/>
          </w:tcPr>
          <w:p>
            <w:pPr>
              <w:spacing w:line="240" w:lineRule="auto" w:before="0" w:after="0"/>
              <w:jc w:val="left"/>
            </w:pPr>
            <w:r/>
            <w:r>
              <w:rPr>
                <w:rFonts w:ascii="SimSun" w:hAnsi="SimSun" w:eastAsia="SimSun"/>
                <w:b w:val="0"/>
                <w:sz w:val="20"/>
              </w:rPr>
              <w:t>1. 初步形成了面向 AgentDNS 场景的受约束语义路由原型，具备“命名空间召回-快路径决策-多智能体共识”分层结构。</w:t>
            </w:r>
          </w:p>
          <w:p>
            <w:pPr>
              <w:spacing w:line="240" w:lineRule="auto" w:before="0" w:after="0"/>
              <w:jc w:val="left"/>
            </w:pPr>
            <w:r>
              <w:rPr>
                <w:rFonts w:ascii="SimSun" w:hAnsi="SimSun" w:eastAsia="SimSun"/>
                <w:b w:val="0"/>
                <w:sz w:val="20"/>
              </w:rPr>
              <w:t>2. 建立了 formal/blind/challenge/holdout2 数据与验证流程，为后续结项论证提供了较完整的实验基础。</w:t>
            </w:r>
          </w:p>
          <w:p>
            <w:pPr>
              <w:spacing w:line="240" w:lineRule="auto" w:before="0" w:after="0"/>
              <w:jc w:val="left"/>
            </w:pPr>
            <w:r>
              <w:rPr>
                <w:rFonts w:ascii="SimSun" w:hAnsi="SimSun" w:eastAsia="SimSun"/>
                <w:b w:val="0"/>
                <w:sz w:val="20"/>
              </w:rPr>
              <w:t>3. 在 challenge 和 holdout2 等场景上观察到多智能体 slow-path 的阶段性正向信号，为后续材料凝练提供了依据。</w:t>
            </w:r>
          </w:p>
        </w:tc>
        <w:tc>
          <w:tcPr>
            <w:tcW w:type="dxa" w:w="2211"/>
            <w:vAlign w:val="center"/>
          </w:tcPr>
          <w:p>
            <w:pPr>
              <w:spacing w:line="240" w:lineRule="auto" w:before="0" w:after="0"/>
              <w:jc w:val="left"/>
            </w:pPr>
            <w:r/>
            <w:r>
              <w:rPr>
                <w:rFonts w:ascii="SimSun" w:hAnsi="SimSun" w:eastAsia="SimSun"/>
                <w:b w:val="0"/>
                <w:sz w:val="20"/>
              </w:rPr>
              <w:t>当前总体进度约75%。原型实现、数据建设和核心实验进展较快，专利、研究报告和正式演示材料仍在收口完善，计划于2026年4月30日前完成项目验收准备工作。</w:t>
            </w:r>
          </w:p>
        </w:tc>
      </w:tr>
    </w:tbl>
    <w:sectPr w:rsidR="00FC693F" w:rsidRPr="0006063C" w:rsidSect="00034616">
      <w:pgSz w:w="15840" w:h="12240" w:orient="landscape"/>
      <w:pgMar w:top="737" w:right="680" w:bottom="73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