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6"/>
        </w:rPr>
        <w:t>面向互联网基础资源的大模型多智能体协作与可信认知标识技术报告</w:t>
      </w:r>
    </w:p>
    <w:p>
      <w:pPr>
        <w:spacing w:line="360" w:lineRule="auto" w:after="120"/>
        <w:ind w:firstLine="420"/>
      </w:pPr>
      <w:r>
        <w:rPr>
          <w:rFonts w:ascii="Times New Roman" w:hAnsi="Times New Roman" w:eastAsia="宋体"/>
          <w:sz w:val="21"/>
        </w:rPr>
        <w:t>版本：结项初稿 v1.0</w:t>
      </w:r>
    </w:p>
    <w:p>
      <w:pPr>
        <w:spacing w:line="360" w:lineRule="auto" w:after="120"/>
        <w:ind w:firstLine="420"/>
      </w:pPr>
      <w:r>
        <w:rPr>
          <w:rFonts w:ascii="Times New Roman" w:hAnsi="Times New Roman" w:eastAsia="宋体"/>
          <w:sz w:val="21"/>
        </w:rPr>
        <w:t>日期：2026年5月15日</w:t>
      </w:r>
    </w:p>
    <w:p>
      <w:pPr>
        <w:spacing w:line="360" w:lineRule="auto" w:after="120"/>
        <w:ind w:firstLine="420"/>
      </w:pPr>
      <w:r>
        <w:rPr>
          <w:rFonts w:ascii="Times New Roman" w:hAnsi="Times New Roman" w:eastAsia="宋体"/>
          <w:sz w:val="21"/>
        </w:rPr>
        <w:t>项目名称：面向互联网基础资源的大模型多智能体协作与可信认知标识技术研究</w:t>
      </w:r>
    </w:p>
    <w:p>
      <w:pPr>
        <w:spacing w:line="360" w:lineRule="auto" w:after="120"/>
        <w:ind w:firstLine="420"/>
      </w:pPr>
      <w:r>
        <w:rPr>
          <w:rFonts w:ascii="Times New Roman" w:hAnsi="Times New Roman" w:eastAsia="宋体"/>
          <w:sz w:val="21"/>
        </w:rPr>
        <w:t>项目类型：重点项目</w:t>
      </w:r>
    </w:p>
    <w:p>
      <w:pPr>
        <w:spacing w:line="360" w:lineRule="auto" w:after="120"/>
        <w:ind w:firstLine="420"/>
      </w:pPr>
      <w:r>
        <w:rPr>
          <w:rFonts w:ascii="Times New Roman" w:hAnsi="Times New Roman" w:eastAsia="宋体"/>
          <w:sz w:val="21"/>
        </w:rPr>
        <w:t>承研处/所：技术发展所</w:t>
      </w:r>
    </w:p>
    <w:p>
      <w:pPr>
        <w:spacing w:line="360" w:lineRule="auto" w:after="120"/>
        <w:ind w:firstLine="420"/>
      </w:pPr>
      <w:r>
        <w:rPr>
          <w:rFonts w:ascii="Times New Roman" w:hAnsi="Times New Roman" w:eastAsia="宋体"/>
          <w:sz w:val="21"/>
        </w:rPr>
        <w:t>项目负责人：邓斯宇</w:t>
      </w:r>
    </w:p>
    <w:p>
      <w:pPr>
        <w:spacing w:line="360" w:lineRule="auto" w:after="120"/>
        <w:ind w:firstLine="420"/>
      </w:pPr>
      <w:r>
        <w:rPr>
          <w:rFonts w:ascii="Times New Roman" w:hAnsi="Times New Roman" w:eastAsia="宋体"/>
          <w:sz w:val="21"/>
        </w:rPr>
        <w:t>起止时间：2025年5月-2026年4月</w:t>
      </w:r>
    </w:p>
    <w:p>
      <w:pPr>
        <w:spacing w:line="360" w:lineRule="auto" w:after="120"/>
        <w:ind w:firstLine="420"/>
      </w:pPr>
      <w:r>
        <w:rPr>
          <w:rFonts w:ascii="Times New Roman" w:hAnsi="Times New Roman" w:eastAsia="宋体"/>
          <w:sz w:val="21"/>
        </w:rPr>
        <w:t>项目经费：10万元</w:t>
      </w:r>
    </w:p>
    <w:p>
      <w:pPr>
        <w:pStyle w:val="Heading1"/>
      </w:pPr>
      <w:r>
        <w:t>摘要</w:t>
      </w:r>
    </w:p>
    <w:p>
      <w:pPr>
        <w:spacing w:line="360" w:lineRule="auto" w:after="120"/>
        <w:ind w:firstLine="420"/>
      </w:pPr>
      <w:r>
        <w:rPr>
          <w:rFonts w:ascii="Times New Roman" w:hAnsi="Times New Roman" w:eastAsia="宋体"/>
          <w:sz w:val="21"/>
        </w:rPr>
        <w:t>本项目面向互联网基础资源在智能体时代的新型支撑需求，围绕大模型多智能体协作、可信认知标识和可复核过程记录开展技术研究。随着大模型应用由文本生成扩展到工具调用、服务发现、任务执行和智能体协作，互联网基础资源的支撑对象正在从传统静态资源进一步延伸到可描述、可发现、可调用、可审计的智能体能力。针对该趋势，项目以任务书提出的“观点差异、可信标识、共识生成”和“互联网基础资源相关任务验证”为主线，构建了面向智能体服务组织与调用入口的多智能体协作研究框架。</w:t>
      </w:r>
    </w:p>
    <w:p>
      <w:pPr>
        <w:spacing w:line="360" w:lineRule="auto" w:after="120"/>
        <w:ind w:firstLine="420"/>
      </w:pPr>
      <w:r>
        <w:rPr>
          <w:rFonts w:ascii="Times New Roman" w:hAnsi="Times New Roman" w:eastAsia="宋体"/>
          <w:sz w:val="21"/>
        </w:rPr>
        <w:t>在具体实施过程中，项目选择“智能体能力命名与语义路由”作为互联网基础资源场景下的典型验证载体。该场景能够集中体现能力命名、候选边界、主次意图识别、复杂样本复核和过程留痕等问题，也便于将多智能体协作机制落到可运行、可评测、可展示的原型系统中。需要说明的是，语义路由并不是本项目题目的替代，而是用于验证“大模型多智能体协作与可信认知标识”技术路线的代表性任务场景。</w:t>
      </w:r>
    </w:p>
    <w:p>
      <w:pPr>
        <w:spacing w:line="360" w:lineRule="auto" w:after="120"/>
        <w:ind w:firstLine="420"/>
      </w:pPr>
      <w:r>
        <w:rPr>
          <w:rFonts w:ascii="Times New Roman" w:hAnsi="Times New Roman" w:eastAsia="宋体"/>
          <w:sz w:val="21"/>
        </w:rPr>
        <w:t>项目形成了能力命名空间构建、候选组织、单智能体结构化语义判别、多智能体职责化协作复核、显式授权改判、可信过程记录和执行落点衔接等核心模块；整理形成563条样本的统一评测资产，并冻结划分为训练集450条、测试集113条。在统一测试集上，规则路由基线主标签准确率为78.76%，单智能体结构化语义判别提升至87.61%，加入默认协作复核后达到88.50%；在训练集确定的扩展协作配置下，同一测试集准确率达到92.92%，并实现5次改写全部有效修正、0次误改。相关能力识别、协作消融、后验诊断和调用复杂度代理分析进一步表明，项目方法能够在复杂边界样本中形成受控净修正，并通过结构化轨迹支撑过程解释与错误复盘。</w:t>
      </w:r>
    </w:p>
    <w:p>
      <w:pPr>
        <w:spacing w:line="360" w:lineRule="auto" w:after="120"/>
        <w:ind w:firstLine="420"/>
      </w:pPr>
      <w:r>
        <w:rPr>
          <w:rFonts w:ascii="Times New Roman" w:hAnsi="Times New Roman" w:eastAsia="宋体"/>
          <w:sz w:val="21"/>
        </w:rPr>
        <w:t>项目已形成原型系统、实验数据、研究报告、论文稿、专利申请与技术交底材料、成果汇编、宣传稿和图表材料等阶段性成果，整体覆盖任务书提出的原型框架、报告/论文、专利材料和成果展示要求。后续可在更大规模独立样本、跨命名空间验证、运行成本日志、端到端执行联调和业务场景试点等方向继续深化。</w:t>
      </w:r>
    </w:p>
    <w:p>
      <w:pPr>
        <w:spacing w:line="360" w:lineRule="auto" w:after="120"/>
        <w:ind w:firstLine="420"/>
      </w:pPr>
      <w:r>
        <w:rPr>
          <w:rFonts w:ascii="Times New Roman" w:hAnsi="Times New Roman" w:eastAsia="宋体"/>
          <w:sz w:val="21"/>
        </w:rPr>
        <w:t>关键词：互联网基础资源；大模型；多智能体协作；可信认知标识；能力命名；过程留痕</w:t>
      </w:r>
    </w:p>
    <w:p>
      <w:pPr>
        <w:pStyle w:val="Heading1"/>
      </w:pPr>
      <w:r>
        <w:t>一、项目背景与研究定位</w:t>
      </w:r>
    </w:p>
    <w:p>
      <w:pPr>
        <w:pStyle w:val="Heading2"/>
      </w:pPr>
      <w:r>
        <w:t>1.1 智能体服务对互联网基础资源提出的新需求</w:t>
      </w:r>
    </w:p>
    <w:p>
      <w:pPr>
        <w:spacing w:line="360" w:lineRule="auto" w:after="120"/>
        <w:ind w:firstLine="420"/>
      </w:pPr>
      <w:r>
        <w:rPr>
          <w:rFonts w:ascii="Times New Roman" w:hAnsi="Times New Roman" w:eastAsia="宋体"/>
          <w:sz w:val="21"/>
        </w:rPr>
        <w:t>互联网基础资源长期承担资源标识、连接、解析和服务发现等基础性功能。随着大模型和智能体系统快速发展，网络服务对象正在由传统网页、应用接口和静态资源，逐步扩展到具有任务理解、工具调用、状态演化和协同执行能力的智能体服务。此类服务不再只是“被访问的对象”，而是能够根据上下文理解任务、选择能力、调用工具并产生过程轨迹的主动执行单元。</w:t>
      </w:r>
    </w:p>
    <w:p>
      <w:pPr>
        <w:spacing w:line="360" w:lineRule="auto" w:after="120"/>
        <w:ind w:firstLine="420"/>
      </w:pPr>
      <w:r>
        <w:rPr>
          <w:rFonts w:ascii="Times New Roman" w:hAnsi="Times New Roman" w:eastAsia="宋体"/>
          <w:sz w:val="21"/>
        </w:rPr>
        <w:t>这一变化使互联网基础资源面临新的技术问题。第一，智能体能力需要被稳定描述和组织，否则不同来源、不同职责、不同执行边界的智能体难以被发现和调用。第二，自然语言请求需要被映射到正确的能力入口，尤其是在请求同时包含主任务、辅助诉求、风险条件和场景约束时，系统必须能区分主能力、相关能力和执行落点。第三，智能体决策过程需要被记录和审计，不能只给出最终结果，还要能够说明候选如何形成、判断依据是什么、何时触发复核、是否发生改判以及改判依据来自哪里。</w:t>
      </w:r>
    </w:p>
    <w:p>
      <w:pPr>
        <w:spacing w:line="360" w:lineRule="auto" w:after="120"/>
        <w:ind w:firstLine="420"/>
      </w:pPr>
      <w:r>
        <w:rPr>
          <w:rFonts w:ascii="Times New Roman" w:hAnsi="Times New Roman" w:eastAsia="宋体"/>
          <w:sz w:val="21"/>
        </w:rPr>
        <w:t>因此，本项目所研究的核心问题不是简单让大模型完成一次文本判断，而是在互联网基础资源场景中探索如何构建一个可组合、可复核、可审计的大模型多智能体协作框架，使智能体能力能够被命名、被选择、被协作复核，并形成可信的过程记录。</w:t>
      </w:r>
    </w:p>
    <w:p>
      <w:pPr>
        <w:pStyle w:val="Heading2"/>
      </w:pPr>
      <w:r>
        <w:t>1.2 任务书目标与结项报告聚焦</w:t>
      </w:r>
    </w:p>
    <w:p>
      <w:pPr>
        <w:spacing w:line="360" w:lineRule="auto" w:after="120"/>
        <w:ind w:firstLine="420"/>
      </w:pPr>
      <w:r>
        <w:rPr>
          <w:rFonts w:ascii="Times New Roman" w:hAnsi="Times New Roman" w:eastAsia="宋体"/>
          <w:sz w:val="21"/>
        </w:rPr>
        <w:t>根据任务书，本项目拟基于大模型构建具备观点差异、可信标识与共识生成能力的多智能体协作研究框架，探索其在内容理解与任务决策中的结构范式与演化机制，为面向互联网基础资源场景的国产智能系统提供原型基础与方法支撑。任务书将研究内容概括为四个层面：</w:t>
      </w:r>
    </w:p>
    <w:p>
      <w:pPr>
        <w:spacing w:line="360" w:lineRule="auto" w:after="120"/>
        <w:ind w:firstLine="420"/>
      </w:pPr>
      <w:r>
        <w:rPr>
          <w:rFonts w:ascii="Times New Roman" w:hAnsi="Times New Roman" w:eastAsia="宋体"/>
          <w:sz w:val="21"/>
        </w:rPr>
        <w:t>一是框架实现层面，设计多视角认知风格生成、共识演化机制和智能体行为可信标识机制，形成可组合的多智能体协作研究框架，支撑任务演示、评估与成果展示。</w:t>
      </w:r>
    </w:p>
    <w:p>
      <w:pPr>
        <w:spacing w:line="360" w:lineRule="auto" w:after="120"/>
        <w:ind w:firstLine="420"/>
      </w:pPr>
      <w:r>
        <w:rPr>
          <w:rFonts w:ascii="Times New Roman" w:hAnsi="Times New Roman" w:eastAsia="宋体"/>
          <w:sz w:val="21"/>
        </w:rPr>
        <w:t>二是技术机制层面，围绕用户代理反馈与协同演化机制，构建多轮意见交互、偏好驱动和群体观点融合过程，推动多智能体的观点融合与自学习能力演化。</w:t>
      </w:r>
    </w:p>
    <w:p>
      <w:pPr>
        <w:spacing w:line="360" w:lineRule="auto" w:after="120"/>
        <w:ind w:firstLine="420"/>
      </w:pPr>
      <w:r>
        <w:rPr>
          <w:rFonts w:ascii="Times New Roman" w:hAnsi="Times New Roman" w:eastAsia="宋体"/>
          <w:sz w:val="21"/>
        </w:rPr>
        <w:t>三是应用适配层面，在真实标签反馈约束下验证多智能体框架的稳定性、可控性和可解释性，挖掘落地推广潜力。</w:t>
      </w:r>
    </w:p>
    <w:p>
      <w:pPr>
        <w:spacing w:line="360" w:lineRule="auto" w:after="120"/>
        <w:ind w:firstLine="420"/>
      </w:pPr>
      <w:r>
        <w:rPr>
          <w:rFonts w:ascii="Times New Roman" w:hAnsi="Times New Roman" w:eastAsia="宋体"/>
          <w:sz w:val="21"/>
        </w:rPr>
        <w:t>四是成果凝练层面，完成发明专利、研究报告或论文、对内成果展示或汇报演示等成果要求。</w:t>
      </w:r>
    </w:p>
    <w:p>
      <w:pPr>
        <w:spacing w:line="360" w:lineRule="auto" w:after="120"/>
        <w:ind w:firstLine="420"/>
      </w:pPr>
      <w:r>
        <w:rPr>
          <w:rFonts w:ascii="Times New Roman" w:hAnsi="Times New Roman" w:eastAsia="宋体"/>
          <w:sz w:val="21"/>
        </w:rPr>
        <w:t>本技术报告围绕上述任务书目标展开。报告主线聚焦“大模型多智能体协作与可信认知标识”本身，重点说明项目如何形成协作框架、如何实现可信过程记录、如何在互联网基础资源任务中验证技术机制，以及如何对照考核指标形成结项成果。智能体能力命名与语义路由在本报告中作为典型验证场景，而不是项目唯一研究对象。</w:t>
      </w:r>
    </w:p>
    <w:p>
      <w:pPr>
        <w:pStyle w:val="Heading2"/>
      </w:pPr>
      <w:r>
        <w:t>1.3 典型验证场景的选择说明</w:t>
      </w:r>
    </w:p>
    <w:p>
      <w:pPr>
        <w:spacing w:line="360" w:lineRule="auto" w:after="120"/>
        <w:ind w:firstLine="420"/>
      </w:pPr>
      <w:r>
        <w:rPr>
          <w:rFonts w:ascii="Times New Roman" w:hAnsi="Times New Roman" w:eastAsia="宋体"/>
          <w:sz w:val="21"/>
        </w:rPr>
        <w:t>在项目实施过程中，团队选择“智能体能力命名与语义路由”作为互联网基础资源场景下的典型验证载体，主要基于三点考虑。</w:t>
      </w:r>
    </w:p>
    <w:p>
      <w:pPr>
        <w:spacing w:line="360" w:lineRule="auto" w:after="120"/>
        <w:ind w:firstLine="420"/>
      </w:pPr>
      <w:r>
        <w:rPr>
          <w:rFonts w:ascii="Times New Roman" w:hAnsi="Times New Roman" w:eastAsia="宋体"/>
          <w:sz w:val="21"/>
        </w:rPr>
        <w:t>第一，该场景能够承接互联网基础资源的核心特征。能力命名、能力发现、语义寻址和服务调用入口，本质上都与互联网基础资源中的命名、解析、发现和连接支撑能力相关。通过构建受限能力命名空间，可以将智能体能力组织成可比较、可评测、可调用的地址对象。</w:t>
      </w:r>
    </w:p>
    <w:p>
      <w:pPr>
        <w:spacing w:line="360" w:lineRule="auto" w:after="120"/>
        <w:ind w:firstLine="420"/>
      </w:pPr>
      <w:r>
        <w:rPr>
          <w:rFonts w:ascii="Times New Roman" w:hAnsi="Times New Roman" w:eastAsia="宋体"/>
          <w:sz w:val="21"/>
        </w:rPr>
        <w:t>第二，该场景能够集中体现多智能体协作的必要性。自然语言请求常常存在主次意图混合、层级粒度竞争、跨域重叠和风险边界不清等问题。单一模型或简单规则可以处理一部分常规样本，但在复杂样本上需要引入不同职责视角进行复核。任务匹配、治理风险、层级解析和用户偏好等角色分工，能够较好对应任务书中“观点差异”和“共识生成”的研究要求。</w:t>
      </w:r>
    </w:p>
    <w:p>
      <w:pPr>
        <w:spacing w:line="360" w:lineRule="auto" w:after="120"/>
        <w:ind w:firstLine="420"/>
      </w:pPr>
      <w:r>
        <w:rPr>
          <w:rFonts w:ascii="Times New Roman" w:hAnsi="Times New Roman" w:eastAsia="宋体"/>
          <w:sz w:val="21"/>
        </w:rPr>
        <w:t>第三，该场景便于形成真实标签反馈约束下的量化验证。项目可以围绕能力命名空间构建样本、标注主能力和相关能力，进而比较规则方法、单智能体结构化判别、多智能体协作复核和不同授权配置的效果。这使任务书中“稳定性、可控性、可解释性”的要求能够通过数据、实验、消融和轨迹记录得到支撑。</w:t>
      </w:r>
    </w:p>
    <w:p>
      <w:pPr>
        <w:spacing w:line="360" w:lineRule="auto" w:after="120"/>
        <w:ind w:firstLine="420"/>
      </w:pPr>
      <w:r>
        <w:rPr>
          <w:rFonts w:ascii="Times New Roman" w:hAnsi="Times New Roman" w:eastAsia="宋体"/>
          <w:sz w:val="21"/>
        </w:rPr>
        <w:t>因此，本项目形成的论文侧成果更聚焦“受限能力命名空间下的语义路由方法”，而结项技术报告则回到任务书题目，将该方法作为项目总体技术路线的一个场景化验证结果。</w:t>
      </w:r>
    </w:p>
    <w:p>
      <w:pPr>
        <w:pStyle w:val="Heading1"/>
      </w:pPr>
      <w:r>
        <w:t>二、研究目标与总体技术思路</w:t>
      </w:r>
    </w:p>
    <w:p>
      <w:pPr>
        <w:pStyle w:val="Heading2"/>
      </w:pPr>
      <w:r>
        <w:t>2.1 总体研究目标</w:t>
      </w:r>
    </w:p>
    <w:p>
      <w:pPr>
        <w:spacing w:line="360" w:lineRule="auto" w:after="120"/>
        <w:ind w:firstLine="420"/>
      </w:pPr>
      <w:r>
        <w:rPr>
          <w:rFonts w:ascii="Times New Roman" w:hAnsi="Times New Roman" w:eastAsia="宋体"/>
          <w:sz w:val="21"/>
        </w:rPr>
        <w:t>本项目总体目标是构建一套面向互联网基础资源场景的大模型多智能体协作与可信认知标识技术框架，使系统能够围绕复杂语义任务完成能力组织、结构化判断、职责化复核、共识形成和过程留痕。具体目标包括：</w:t>
      </w:r>
    </w:p>
    <w:p>
      <w:pPr>
        <w:pStyle w:val="ListNumber"/>
      </w:pPr>
      <w:r>
        <w:rPr>
          <w:rFonts w:ascii="Times New Roman" w:hAnsi="Times New Roman" w:eastAsia="宋体"/>
          <w:sz w:val="21"/>
        </w:rPr>
        <w:t>构建面向智能体服务的能力组织与地址表达方式，使不同能力能够在统一命名空间中被描述、被候选化和被比较。</w:t>
      </w:r>
    </w:p>
    <w:p>
      <w:pPr>
        <w:pStyle w:val="ListNumber"/>
      </w:pPr>
      <w:r>
        <w:rPr>
          <w:rFonts w:ascii="Times New Roman" w:hAnsi="Times New Roman" w:eastAsia="宋体"/>
          <w:sz w:val="21"/>
        </w:rPr>
        <w:t>构建多智能体协作决策框架，使系统能够在直接判断证据不足时引入不同职责角色进行复核，并通过共识机制形成受控修正。</w:t>
      </w:r>
    </w:p>
    <w:p>
      <w:pPr>
        <w:pStyle w:val="ListNumber"/>
      </w:pPr>
      <w:r>
        <w:rPr>
          <w:rFonts w:ascii="Times New Roman" w:hAnsi="Times New Roman" w:eastAsia="宋体"/>
          <w:sz w:val="21"/>
        </w:rPr>
        <w:t>构建可信认知标识与过程记录机制，使候选生成、模型判断、协作复核、授权改判和执行衔接形成可回放、可解释、可审计的轨迹。</w:t>
      </w:r>
    </w:p>
    <w:p>
      <w:pPr>
        <w:pStyle w:val="ListNumber"/>
      </w:pPr>
      <w:r>
        <w:rPr>
          <w:rFonts w:ascii="Times New Roman" w:hAnsi="Times New Roman" w:eastAsia="宋体"/>
          <w:sz w:val="21"/>
        </w:rPr>
        <w:t>在互联网基础资源相关典型场景中完成原型验证，通过真实标签样本、冻结评测协议和消融分析说明方法有效性。</w:t>
      </w:r>
    </w:p>
    <w:p>
      <w:pPr>
        <w:pStyle w:val="ListNumber"/>
      </w:pPr>
      <w:r>
        <w:rPr>
          <w:rFonts w:ascii="Times New Roman" w:hAnsi="Times New Roman" w:eastAsia="宋体"/>
          <w:sz w:val="21"/>
        </w:rPr>
        <w:t>形成结项所需的原型系统、实验资产、技术报告或论文、专利材料和成果展示支撑材料。</w:t>
      </w:r>
    </w:p>
    <w:p>
      <w:pPr>
        <w:pStyle w:val="Heading2"/>
      </w:pPr>
      <w:r>
        <w:t>2.2 总体技术路线</w:t>
      </w:r>
    </w:p>
    <w:p>
      <w:pPr>
        <w:spacing w:line="360" w:lineRule="auto" w:after="120"/>
        <w:ind w:firstLine="420"/>
      </w:pPr>
      <w:r>
        <w:rPr>
          <w:rFonts w:ascii="Times New Roman" w:hAnsi="Times New Roman" w:eastAsia="宋体"/>
          <w:sz w:val="21"/>
        </w:rPr>
        <w:t>项目总体技术路线可概括为“能力命名与候选组织 -&gt; 单智能体结构化判别 -&gt; 多智能体职责化复核 -&gt; 显式授权与共识形成 -&gt; 可信过程记录 -&gt; 执行落点衔接”。</w:t>
      </w:r>
    </w:p>
    <w:p>
      <w:pPr>
        <w:spacing w:line="360" w:lineRule="auto" w:after="120"/>
        <w:ind w:firstLine="420"/>
      </w:pPr>
      <w:r>
        <w:rPr>
          <w:rFonts w:ascii="Times New Roman" w:hAnsi="Times New Roman" w:eastAsia="宋体"/>
          <w:sz w:val="21"/>
        </w:rPr>
        <w:t>能力命名与候选组织阶段负责将分散的智能体能力整理为统一命名空间，形成候选集合和候选证据包。该阶段对应互联网基础资源中“命名、发现、组织”的基础作用。</w:t>
      </w:r>
    </w:p>
    <w:p>
      <w:pPr>
        <w:spacing w:line="360" w:lineRule="auto" w:after="120"/>
        <w:ind w:firstLine="420"/>
      </w:pPr>
      <w:r>
        <w:rPr>
          <w:rFonts w:ascii="Times New Roman" w:hAnsi="Times New Roman" w:eastAsia="宋体"/>
          <w:sz w:val="21"/>
        </w:rPr>
        <w:t>单智能体结构化判别阶段负责在候选集合内部完成主能力选择、可接受层级回落判断、相关能力识别和不确定性摘要。该阶段不是让大模型开放式生成答案，而是要求其围绕固定候选集合输出结构化证据。</w:t>
      </w:r>
    </w:p>
    <w:p>
      <w:pPr>
        <w:spacing w:line="360" w:lineRule="auto" w:after="120"/>
        <w:ind w:firstLine="420"/>
      </w:pPr>
      <w:r>
        <w:rPr>
          <w:rFonts w:ascii="Times New Roman" w:hAnsi="Times New Roman" w:eastAsia="宋体"/>
          <w:sz w:val="21"/>
        </w:rPr>
        <w:t>多智能体职责化复核阶段负责处理低置信、高风险、层级冲突和多意图混合样本。系统设置任务匹配、治理风险、层级解析、用户偏好等角色，使不同角色从各自职责角度对同一候选集合进行复核。</w:t>
      </w:r>
    </w:p>
    <w:p>
      <w:pPr>
        <w:spacing w:line="360" w:lineRule="auto" w:after="120"/>
        <w:ind w:firstLine="420"/>
      </w:pPr>
      <w:r>
        <w:rPr>
          <w:rFonts w:ascii="Times New Roman" w:hAnsi="Times New Roman" w:eastAsia="宋体"/>
          <w:sz w:val="21"/>
        </w:rPr>
        <w:t>显式授权与共识形成阶段负责控制最终改判边界。协作复核不直接用多数投票覆盖原结果，而是形成候选级证据分数；只有当票数、证据强度、共识增益和风险确认满足条件时，系统才允许替换直接判断结果。</w:t>
      </w:r>
    </w:p>
    <w:p>
      <w:pPr>
        <w:spacing w:line="360" w:lineRule="auto" w:after="120"/>
        <w:ind w:firstLine="420"/>
      </w:pPr>
      <w:r>
        <w:rPr>
          <w:rFonts w:ascii="Times New Roman" w:hAnsi="Times New Roman" w:eastAsia="宋体"/>
          <w:sz w:val="21"/>
        </w:rPr>
        <w:t>可信过程记录阶段负责将候选快照、规则分数、模型结构化输出、角色提案、协作聚合、授权判断和执行接口信息统一落盘，形成可复盘、可解释、可核验的技术基础。</w:t>
      </w:r>
    </w:p>
    <w:p>
      <w:pPr>
        <w:spacing w:line="360" w:lineRule="auto" w:after="120"/>
        <w:ind w:firstLine="420"/>
      </w:pPr>
      <w:r>
        <w:rPr>
          <w:rFonts w:ascii="Times New Roman" w:hAnsi="Times New Roman" w:eastAsia="宋体"/>
          <w:sz w:val="21"/>
        </w:rPr>
        <w:t>执行落点衔接阶段负责在能力地址已经确定后，将其映射到具体可执行实例。该阶段保持语义路由结果稳定，不在执行层重新改写能力地址，从而使“做什么”和“由谁做”保持边界清晰。</w:t>
      </w:r>
    </w:p>
    <w:p>
      <w:pPr>
        <w:pStyle w:val="Heading2"/>
      </w:pPr>
      <w:r>
        <w:t>2.3 与任务书“三阶段路径”的对应关系</w:t>
      </w:r>
    </w:p>
    <w:p>
      <w:pPr>
        <w:spacing w:line="360" w:lineRule="auto" w:after="120"/>
        <w:ind w:firstLine="420"/>
      </w:pPr>
      <w:r>
        <w:rPr>
          <w:rFonts w:ascii="Times New Roman" w:hAnsi="Times New Roman" w:eastAsia="宋体"/>
          <w:sz w:val="21"/>
        </w:rPr>
        <w:t>任务书提出“大模型异质内容生成 -&gt; 多智能体交互与共识算法 -&gt; 智能体行为可信标识”的三阶段科研路径。项目实际实施与该路径具有明确对应关系。</w:t>
      </w:r>
    </w:p>
    <w:p>
      <w:pPr>
        <w:spacing w:line="360" w:lineRule="auto" w:after="120"/>
        <w:ind w:firstLine="420"/>
      </w:pPr>
      <w:r>
        <w:rPr>
          <w:rFonts w:ascii="Times New Roman" w:hAnsi="Times New Roman" w:eastAsia="宋体"/>
          <w:sz w:val="21"/>
        </w:rPr>
        <w:t>在“大模型异质内容生成”方面，项目通过结构化语义判别和职责化角色提示，使模型围绕同一候选集合生成不同职责视角下的判断证据。不同角色并非简单重复回答，而是分别关注主任务承接、风险边界、层级粒度和用户偏好。</w:t>
      </w:r>
    </w:p>
    <w:p>
      <w:pPr>
        <w:spacing w:line="360" w:lineRule="auto" w:after="120"/>
        <w:ind w:firstLine="420"/>
      </w:pPr>
      <w:r>
        <w:rPr>
          <w:rFonts w:ascii="Times New Roman" w:hAnsi="Times New Roman" w:eastAsia="宋体"/>
          <w:sz w:val="21"/>
        </w:rPr>
        <w:t>在“多智能体交互与共识算法”方面，项目实现了协作触发、角色并行复核、候选级证据聚合、必要时二轮复核和显式授权改判。系统将“是否触发复核”和“是否允许改判”拆开管理，避免协作过程失控。</w:t>
      </w:r>
    </w:p>
    <w:p>
      <w:pPr>
        <w:spacing w:line="360" w:lineRule="auto" w:after="120"/>
        <w:ind w:firstLine="420"/>
      </w:pPr>
      <w:r>
        <w:rPr>
          <w:rFonts w:ascii="Times New Roman" w:hAnsi="Times New Roman" w:eastAsia="宋体"/>
          <w:sz w:val="21"/>
        </w:rPr>
        <w:t>在“智能体行为可信标识”方面，项目将可信认知标识落实为身份标识、角色标识、候选快照、行为链日志和可回放轨迹。当前实现重点是工程可审计和过程可核验，为后续进一步引入更强的哈希链、签名或篡改检测机制预留结构基础。</w:t>
      </w:r>
    </w:p>
    <w:p>
      <w:pPr>
        <w:pStyle w:val="Heading1"/>
      </w:pPr>
      <w:r>
        <w:t>三、系统框架与关键技术</w:t>
      </w:r>
    </w:p>
    <w:p>
      <w:pPr>
        <w:pStyle w:val="Heading2"/>
      </w:pPr>
      <w:r>
        <w:t>3.1 能力命名空间与地址表达机制</w:t>
      </w:r>
    </w:p>
    <w:p>
      <w:pPr>
        <w:spacing w:line="360" w:lineRule="auto" w:after="120"/>
        <w:ind w:firstLine="420"/>
      </w:pPr>
      <w:r>
        <w:rPr>
          <w:rFonts w:ascii="Times New Roman" w:hAnsi="Times New Roman" w:eastAsia="宋体"/>
          <w:sz w:val="21"/>
        </w:rPr>
        <w:t>项目首先构建面向智能体服务的能力命名空间。与把智能体简单视为若干孤立工具不同，本项目从能力域、能力节点、节点描述、别名、层级关系、场景标签和执行约束等维度对智能体能力进行统一表达。通过这一方式，系统可以把不同来源、不同职责、不同执行边界的智能体服务放在同一语义坐标系中比较。</w:t>
      </w:r>
    </w:p>
    <w:p>
      <w:pPr>
        <w:spacing w:line="360" w:lineRule="auto" w:after="120"/>
        <w:ind w:firstLine="420"/>
      </w:pPr>
      <w:r>
        <w:rPr>
          <w:rFonts w:ascii="Times New Roman" w:hAnsi="Times New Roman" w:eastAsia="宋体"/>
          <w:sz w:val="21"/>
        </w:rPr>
        <w:t>在地址表达上，项目区分能力地址和实例地址。能力地址表示“哪一类能力应当承接该请求”，是语义判断和协作复核的核心对象；实例地址表示“最终由哪个具体实例执行该能力”，是执行衔接阶段的对象。这一分层设计避免了语义判断和运行时实例选择混在一起，也使过程记录能够更清楚地区分能力选择错误、候选召回错误和执行落点错误。</w:t>
      </w:r>
    </w:p>
    <w:p>
      <w:pPr>
        <w:spacing w:line="360" w:lineRule="auto" w:after="120"/>
        <w:ind w:firstLine="420"/>
      </w:pPr>
      <w:r>
        <w:rPr>
          <w:rFonts w:ascii="Times New Roman" w:hAnsi="Times New Roman" w:eastAsia="宋体"/>
          <w:sz w:val="21"/>
        </w:rPr>
        <w:t>该机制对项目总体目标的意义在于，它为多智能体协作提供了共同讨论对象。只有当候选能力被统一命名并固定在明确集合内，不同智能体角色才能围绕同一组对象进行判断和复核，可信过程记录也才能具备可比较和可回放基础。</w:t>
      </w:r>
    </w:p>
    <w:p>
      <w:pPr>
        <w:pStyle w:val="Heading2"/>
      </w:pPr>
      <w:r>
        <w:t>3.2 候选组织与规则快路径</w:t>
      </w:r>
    </w:p>
    <w:p>
      <w:pPr>
        <w:spacing w:line="360" w:lineRule="auto" w:after="120"/>
        <w:ind w:firstLine="420"/>
      </w:pPr>
      <w:r>
        <w:rPr>
          <w:rFonts w:ascii="Times New Roman" w:hAnsi="Times New Roman" w:eastAsia="宋体"/>
          <w:sz w:val="21"/>
        </w:rPr>
        <w:t>候选组织阶段依据节点描述、别名、层级位置、场景标签和上下文信号构造候选集合。系统采用较保守的候选内决策原则：下游模型和协作角色只能在候选集合内部进行主能力选择和相关能力识别，不能凭空发明候选外能力。</w:t>
      </w:r>
    </w:p>
    <w:p>
      <w:pPr>
        <w:spacing w:line="360" w:lineRule="auto" w:after="120"/>
        <w:ind w:firstLine="420"/>
      </w:pPr>
      <w:r>
        <w:rPr>
          <w:rFonts w:ascii="Times New Roman" w:hAnsi="Times New Roman" w:eastAsia="宋体"/>
          <w:sz w:val="21"/>
        </w:rPr>
        <w:t>规则快路径负责为常规样本提供低成本基础判断。该模块综合别名匹配、描述相似度、上下文命中、层级支持、粒度适配和结构性惩罚等信号，为候选能力生成可解释分数。其作用不是替代后续大模型判断，而是提供稳定边界、基础排序和可解释对照。</w:t>
      </w:r>
    </w:p>
    <w:p>
      <w:pPr>
        <w:spacing w:line="360" w:lineRule="auto" w:after="120"/>
        <w:ind w:firstLine="420"/>
      </w:pPr>
      <w:r>
        <w:rPr>
          <w:rFonts w:ascii="Times New Roman" w:hAnsi="Times New Roman" w:eastAsia="宋体"/>
          <w:sz w:val="21"/>
        </w:rPr>
        <w:t>通过规则快路径，项目能够将复杂系统拆解为“候选是否召回”和“候选内是否选对”两个问题。这样既便于实验比较，也便于错误归因和后续优化。</w:t>
      </w:r>
    </w:p>
    <w:p>
      <w:pPr>
        <w:pStyle w:val="Heading2"/>
      </w:pPr>
      <w:r>
        <w:t>3.3 单智能体结构化语义判别</w:t>
      </w:r>
    </w:p>
    <w:p>
      <w:pPr>
        <w:spacing w:line="360" w:lineRule="auto" w:after="120"/>
        <w:ind w:firstLine="420"/>
      </w:pPr>
      <w:r>
        <w:rPr>
          <w:rFonts w:ascii="Times New Roman" w:hAnsi="Times New Roman" w:eastAsia="宋体"/>
          <w:sz w:val="21"/>
        </w:rPr>
        <w:t>单智能体结构化语义判别是项目形成主要性能增益的核心环节。该模块读取候选说明包，在固定候选集合内部输出主能力候选、相关能力候选、任务匹配度、主能力匹配度、粒度判断、风险失配、不确定性摘要和竞争候选说明等结构化字段。</w:t>
      </w:r>
    </w:p>
    <w:p>
      <w:pPr>
        <w:spacing w:line="360" w:lineRule="auto" w:after="120"/>
        <w:ind w:firstLine="420"/>
      </w:pPr>
      <w:r>
        <w:rPr>
          <w:rFonts w:ascii="Times New Roman" w:hAnsi="Times New Roman" w:eastAsia="宋体"/>
          <w:sz w:val="21"/>
        </w:rPr>
        <w:t>这一设计与一步式自由文本裁决有本质差别。模型不只是输出“选择哪个能力”，还需要说明主任务是什么、当前候选为何更合适、竞争候选为何未被选中、是否存在层级粒度问题、是否存在高风险或多意图冲突。这些字段既服务于当前判断，也为后续多智能体复核提供语义交接材料。</w:t>
      </w:r>
    </w:p>
    <w:p>
      <w:pPr>
        <w:spacing w:line="360" w:lineRule="auto" w:after="120"/>
        <w:ind w:firstLine="420"/>
      </w:pPr>
      <w:r>
        <w:rPr>
          <w:rFonts w:ascii="Times New Roman" w:hAnsi="Times New Roman" w:eastAsia="宋体"/>
          <w:sz w:val="21"/>
        </w:rPr>
        <w:t>在工程实现上，该阶段采用结构化 JSON 输出，并将主能力与相关能力输出限制在候选集合内部。项目实践表明，候选内结构化比较比开放式生成更适合互联网基础资源这类需要稳定边界、可解释输出和后续审计的任务。</w:t>
      </w:r>
    </w:p>
    <w:p>
      <w:pPr>
        <w:pStyle w:val="Heading2"/>
      </w:pPr>
      <w:r>
        <w:t>3.4 多智能体职责化协作复核</w:t>
      </w:r>
    </w:p>
    <w:p>
      <w:pPr>
        <w:spacing w:line="360" w:lineRule="auto" w:after="120"/>
        <w:ind w:firstLine="420"/>
      </w:pPr>
      <w:r>
        <w:rPr>
          <w:rFonts w:ascii="Times New Roman" w:hAnsi="Times New Roman" w:eastAsia="宋体"/>
          <w:sz w:val="21"/>
        </w:rPr>
        <w:t>多智能体协作复核用于处理直接判断证据不足的复杂样本。项目没有采用开放式辩论或无限制多轮讨论，而是将协作复核设计成职责化、条件化、受控化的机制。</w:t>
      </w:r>
    </w:p>
    <w:p>
      <w:pPr>
        <w:spacing w:line="360" w:lineRule="auto" w:after="120"/>
        <w:ind w:firstLine="420"/>
      </w:pPr>
      <w:r>
        <w:rPr>
          <w:rFonts w:ascii="Times New Roman" w:hAnsi="Times New Roman" w:eastAsia="宋体"/>
          <w:sz w:val="21"/>
        </w:rPr>
        <w:t>当前协作角色主要包括四类：</w:t>
      </w:r>
    </w:p>
    <w:tbl>
      <w:tblPr>
        <w:tblStyle w:val="TableGrid"/>
        <w:tblW w:type="auto" w:w="0"/>
        <w:jc w:val="center"/>
        <w:tblLook w:firstColumn="1" w:firstRow="1" w:lastColumn="0" w:lastRow="0" w:noHBand="0" w:noVBand="1" w:val="04A0"/>
      </w:tblPr>
      <w:tblGrid>
        <w:gridCol w:w="3059"/>
        <w:gridCol w:w="3059"/>
        <w:gridCol w:w="3059"/>
      </w:tblGrid>
      <w:tr>
        <w:tc>
          <w:tcPr>
            <w:tcW w:type="dxa" w:w="3059"/>
            <w:vAlign w:val="center"/>
          </w:tcPr>
          <w:p>
            <w:pPr>
              <w:spacing w:after="0"/>
            </w:pPr>
            <w:r/>
            <w:r>
              <w:rPr>
                <w:rFonts w:ascii="Times New Roman" w:hAnsi="Times New Roman" w:eastAsia="宋体"/>
                <w:b/>
                <w:sz w:val="21"/>
              </w:rPr>
              <w:t>角色</w:t>
            </w:r>
          </w:p>
        </w:tc>
        <w:tc>
          <w:tcPr>
            <w:tcW w:type="dxa" w:w="3059"/>
            <w:vAlign w:val="center"/>
          </w:tcPr>
          <w:p>
            <w:pPr>
              <w:spacing w:after="0"/>
            </w:pPr>
            <w:r/>
            <w:r>
              <w:rPr>
                <w:rFonts w:ascii="Times New Roman" w:hAnsi="Times New Roman" w:eastAsia="宋体"/>
                <w:b/>
                <w:sz w:val="21"/>
              </w:rPr>
              <w:t>关注重点</w:t>
            </w:r>
          </w:p>
        </w:tc>
        <w:tc>
          <w:tcPr>
            <w:tcW w:type="dxa" w:w="3059"/>
            <w:vAlign w:val="center"/>
          </w:tcPr>
          <w:p>
            <w:pPr>
              <w:spacing w:after="0"/>
            </w:pPr>
            <w:r/>
            <w:r>
              <w:rPr>
                <w:rFonts w:ascii="Times New Roman" w:hAnsi="Times New Roman" w:eastAsia="宋体"/>
                <w:b/>
                <w:sz w:val="21"/>
              </w:rPr>
              <w:t>作用</w:t>
            </w:r>
          </w:p>
        </w:tc>
      </w:tr>
      <w:tr>
        <w:tc>
          <w:tcPr>
            <w:tcW w:type="dxa" w:w="3059"/>
            <w:vAlign w:val="center"/>
          </w:tcPr>
          <w:p>
            <w:pPr>
              <w:spacing w:after="0"/>
            </w:pPr>
            <w:r/>
            <w:r>
              <w:rPr>
                <w:rFonts w:ascii="Times New Roman" w:hAnsi="Times New Roman" w:eastAsia="宋体"/>
                <w:b w:val="0"/>
                <w:sz w:val="21"/>
              </w:rPr>
              <w:t>任务匹配角色</w:t>
            </w:r>
          </w:p>
        </w:tc>
        <w:tc>
          <w:tcPr>
            <w:tcW w:type="dxa" w:w="3059"/>
            <w:vAlign w:val="center"/>
          </w:tcPr>
          <w:p>
            <w:pPr>
              <w:spacing w:after="0"/>
            </w:pPr>
            <w:r/>
            <w:r>
              <w:rPr>
                <w:rFonts w:ascii="Times New Roman" w:hAnsi="Times New Roman" w:eastAsia="宋体"/>
                <w:b w:val="0"/>
                <w:sz w:val="21"/>
              </w:rPr>
              <w:t>主任务、候选描述、显式任务证据</w:t>
            </w:r>
          </w:p>
        </w:tc>
        <w:tc>
          <w:tcPr>
            <w:tcW w:type="dxa" w:w="3059"/>
            <w:vAlign w:val="center"/>
          </w:tcPr>
          <w:p>
            <w:pPr>
              <w:spacing w:after="0"/>
            </w:pPr>
            <w:r/>
            <w:r>
              <w:rPr>
                <w:rFonts w:ascii="Times New Roman" w:hAnsi="Times New Roman" w:eastAsia="宋体"/>
                <w:b w:val="0"/>
                <w:sz w:val="21"/>
              </w:rPr>
              <w:t>判断哪个能力最能直接承接主任务</w:t>
            </w:r>
          </w:p>
        </w:tc>
      </w:tr>
      <w:tr>
        <w:tc>
          <w:tcPr>
            <w:tcW w:type="dxa" w:w="3059"/>
            <w:vAlign w:val="center"/>
          </w:tcPr>
          <w:p>
            <w:pPr>
              <w:spacing w:after="0"/>
            </w:pPr>
            <w:r/>
            <w:r>
              <w:rPr>
                <w:rFonts w:ascii="Times New Roman" w:hAnsi="Times New Roman" w:eastAsia="宋体"/>
                <w:b w:val="0"/>
                <w:sz w:val="21"/>
              </w:rPr>
              <w:t>治理风险角色</w:t>
            </w:r>
          </w:p>
        </w:tc>
        <w:tc>
          <w:tcPr>
            <w:tcW w:type="dxa" w:w="3059"/>
            <w:vAlign w:val="center"/>
          </w:tcPr>
          <w:p>
            <w:pPr>
              <w:spacing w:after="0"/>
            </w:pPr>
            <w:r/>
            <w:r>
              <w:rPr>
                <w:rFonts w:ascii="Times New Roman" w:hAnsi="Times New Roman" w:eastAsia="宋体"/>
                <w:b w:val="0"/>
                <w:sz w:val="21"/>
              </w:rPr>
              <w:t>风险标签、跨域竞争、负向证据</w:t>
            </w:r>
          </w:p>
        </w:tc>
        <w:tc>
          <w:tcPr>
            <w:tcW w:type="dxa" w:w="3059"/>
            <w:vAlign w:val="center"/>
          </w:tcPr>
          <w:p>
            <w:pPr>
              <w:spacing w:after="0"/>
            </w:pPr>
            <w:r/>
            <w:r>
              <w:rPr>
                <w:rFonts w:ascii="Times New Roman" w:hAnsi="Times New Roman" w:eastAsia="宋体"/>
                <w:b w:val="0"/>
                <w:sz w:val="21"/>
              </w:rPr>
              <w:t>阻止高风险误判和不充分改判</w:t>
            </w:r>
          </w:p>
        </w:tc>
      </w:tr>
      <w:tr>
        <w:tc>
          <w:tcPr>
            <w:tcW w:type="dxa" w:w="3059"/>
            <w:vAlign w:val="center"/>
          </w:tcPr>
          <w:p>
            <w:pPr>
              <w:spacing w:after="0"/>
            </w:pPr>
            <w:r/>
            <w:r>
              <w:rPr>
                <w:rFonts w:ascii="Times New Roman" w:hAnsi="Times New Roman" w:eastAsia="宋体"/>
                <w:b w:val="0"/>
                <w:sz w:val="21"/>
              </w:rPr>
              <w:t>层级解析角色</w:t>
            </w:r>
          </w:p>
        </w:tc>
        <w:tc>
          <w:tcPr>
            <w:tcW w:type="dxa" w:w="3059"/>
            <w:vAlign w:val="center"/>
          </w:tcPr>
          <w:p>
            <w:pPr>
              <w:spacing w:after="0"/>
            </w:pPr>
            <w:r/>
            <w:r>
              <w:rPr>
                <w:rFonts w:ascii="Times New Roman" w:hAnsi="Times New Roman" w:eastAsia="宋体"/>
                <w:b w:val="0"/>
                <w:sz w:val="21"/>
              </w:rPr>
              <w:t>父子层级、同层竞争、粒度适配</w:t>
            </w:r>
          </w:p>
        </w:tc>
        <w:tc>
          <w:tcPr>
            <w:tcW w:type="dxa" w:w="3059"/>
            <w:vAlign w:val="center"/>
          </w:tcPr>
          <w:p>
            <w:pPr>
              <w:spacing w:after="0"/>
            </w:pPr>
            <w:r/>
            <w:r>
              <w:rPr>
                <w:rFonts w:ascii="Times New Roman" w:hAnsi="Times New Roman" w:eastAsia="宋体"/>
                <w:b w:val="0"/>
                <w:sz w:val="21"/>
              </w:rPr>
              <w:t>处理父子节点和同层能力之间的粒度冲突</w:t>
            </w:r>
          </w:p>
        </w:tc>
      </w:tr>
      <w:tr>
        <w:tc>
          <w:tcPr>
            <w:tcW w:type="dxa" w:w="3059"/>
            <w:vAlign w:val="center"/>
          </w:tcPr>
          <w:p>
            <w:pPr>
              <w:spacing w:after="0"/>
            </w:pPr>
            <w:r/>
            <w:r>
              <w:rPr>
                <w:rFonts w:ascii="Times New Roman" w:hAnsi="Times New Roman" w:eastAsia="宋体"/>
                <w:b w:val="0"/>
                <w:sz w:val="21"/>
              </w:rPr>
              <w:t>用户偏好角色</w:t>
            </w:r>
          </w:p>
        </w:tc>
        <w:tc>
          <w:tcPr>
            <w:tcW w:type="dxa" w:w="3059"/>
            <w:vAlign w:val="center"/>
          </w:tcPr>
          <w:p>
            <w:pPr>
              <w:spacing w:after="0"/>
            </w:pPr>
            <w:r/>
            <w:r>
              <w:rPr>
                <w:rFonts w:ascii="Times New Roman" w:hAnsi="Times New Roman" w:eastAsia="宋体"/>
                <w:b w:val="0"/>
                <w:sz w:val="21"/>
              </w:rPr>
              <w:t>次要诉求、相关能力、主次意图线索</w:t>
            </w:r>
          </w:p>
        </w:tc>
        <w:tc>
          <w:tcPr>
            <w:tcW w:type="dxa" w:w="3059"/>
            <w:vAlign w:val="center"/>
          </w:tcPr>
          <w:p>
            <w:pPr>
              <w:spacing w:after="0"/>
            </w:pPr>
            <w:r/>
            <w:r>
              <w:rPr>
                <w:rFonts w:ascii="Times New Roman" w:hAnsi="Times New Roman" w:eastAsia="宋体"/>
                <w:b w:val="0"/>
                <w:sz w:val="21"/>
              </w:rPr>
              <w:t>区分主任务与辅助诉求，辅助相关能力识别</w:t>
            </w:r>
          </w:p>
        </w:tc>
      </w:tr>
    </w:tbl>
    <w:p/>
    <w:p>
      <w:pPr>
        <w:spacing w:line="360" w:lineRule="auto" w:after="120"/>
        <w:ind w:firstLine="420"/>
      </w:pPr>
      <w:r>
        <w:rPr>
          <w:rFonts w:ascii="Times New Roman" w:hAnsi="Times New Roman" w:eastAsia="宋体"/>
          <w:sz w:val="21"/>
        </w:rPr>
        <w:t>这些角色共享同一候选集合，但读取的证据视角有所差异。协作控制器将角色提案、角色置信度、候选投票比例、单智能体语义分数、显式主任务证据和职责信号进行聚合，形成候选级复核分数。对于候选差距过小、高风险或跨层级改判样本，系统可以触发第二轮定向复核。</w:t>
      </w:r>
    </w:p>
    <w:p>
      <w:pPr>
        <w:spacing w:line="360" w:lineRule="auto" w:after="120"/>
        <w:ind w:firstLine="420"/>
      </w:pPr>
      <w:r>
        <w:rPr>
          <w:rFonts w:ascii="Times New Roman" w:hAnsi="Times New Roman" w:eastAsia="宋体"/>
          <w:sz w:val="21"/>
        </w:rPr>
        <w:t>该机制体现了任务书中“观点差异”和“共识生成”的要求。不同角色提供差异化判断，共识控制器负责收敛和授权，最终结果不是简单多数票，而是经过证据聚合和约束检查的受控改判。</w:t>
      </w:r>
    </w:p>
    <w:p>
      <w:pPr>
        <w:pStyle w:val="Heading2"/>
      </w:pPr>
      <w:r>
        <w:t>3.5 显式授权改判机制</w:t>
      </w:r>
    </w:p>
    <w:p>
      <w:pPr>
        <w:spacing w:line="360" w:lineRule="auto" w:after="120"/>
        <w:ind w:firstLine="420"/>
      </w:pPr>
      <w:r>
        <w:rPr>
          <w:rFonts w:ascii="Times New Roman" w:hAnsi="Times New Roman" w:eastAsia="宋体"/>
          <w:sz w:val="21"/>
        </w:rPr>
        <w:t>项目将“是否复核”和“是否改判”拆分为两个独立问题。某个样本进入协作复核，并不意味着最终结果一定会被改写；只有当复核证据满足授权规则时，系统才允许改判。</w:t>
      </w:r>
    </w:p>
    <w:p>
      <w:pPr>
        <w:spacing w:line="360" w:lineRule="auto" w:after="120"/>
        <w:ind w:firstLine="420"/>
      </w:pPr>
      <w:r>
        <w:rPr>
          <w:rFonts w:ascii="Times New Roman" w:hAnsi="Times New Roman" w:eastAsia="宋体"/>
          <w:sz w:val="21"/>
        </w:rPr>
        <w:t>授权条件主要包括：改判候选获得足够角色支持；候选级复核分数相对直接判断有足够增益；存在明确主任务证据；高风险、跨域或跨层级改判需要更强证据和二轮复核确认。授权条件外的样本保留单智能体结构化判断结果。</w:t>
      </w:r>
    </w:p>
    <w:p>
      <w:pPr>
        <w:spacing w:line="360" w:lineRule="auto" w:after="120"/>
        <w:ind w:firstLine="420"/>
      </w:pPr>
      <w:r>
        <w:rPr>
          <w:rFonts w:ascii="Times New Roman" w:hAnsi="Times New Roman" w:eastAsia="宋体"/>
          <w:sz w:val="21"/>
        </w:rPr>
        <w:t>该机制使多智能体协作不再是“多问几个模型后取一个结果”，而是复杂样本上的审查和纠错机制。实验中扩展配置取得5次改写、5次纠错、0次误改，说明职责化证据与授权边界配合后，可以在复杂样本上形成低误改的净修正。</w:t>
      </w:r>
    </w:p>
    <w:p>
      <w:pPr>
        <w:pStyle w:val="Heading2"/>
      </w:pPr>
      <w:r>
        <w:t>3.6 可信认知标识与过程记录</w:t>
      </w:r>
    </w:p>
    <w:p>
      <w:pPr>
        <w:spacing w:line="360" w:lineRule="auto" w:after="120"/>
        <w:ind w:firstLine="420"/>
      </w:pPr>
      <w:r>
        <w:rPr>
          <w:rFonts w:ascii="Times New Roman" w:hAnsi="Times New Roman" w:eastAsia="宋体"/>
          <w:sz w:val="21"/>
        </w:rPr>
        <w:t>本项目对“可信认知标识”的实现保持工程边界。当前阶段重点不是声称已经完成强密码学不可篡改证明，而是实现可审计、可回放、可归因的结构化行为链。</w:t>
      </w:r>
    </w:p>
    <w:p>
      <w:pPr>
        <w:spacing w:line="360" w:lineRule="auto" w:after="120"/>
        <w:ind w:firstLine="420"/>
      </w:pPr>
      <w:r>
        <w:rPr>
          <w:rFonts w:ascii="Times New Roman" w:hAnsi="Times New Roman" w:eastAsia="宋体"/>
          <w:sz w:val="21"/>
        </w:rPr>
        <w:t>系统对每条样本记录候选集合、规则分数、结构化语义判别结果、升级原因、角色提案、复核聚合、授权判断、最终输出和执行接口信息。通过这些记录，项目可以回答以下问题：候选集合如何形成；直接判断为什么选择当前能力；协作复核为什么触发；哪些角色支持或反对改判；最终是否发生改判；如果结果错误，错误发生在召回、候选内判断、相关能力识别还是授权控制阶段。</w:t>
      </w:r>
    </w:p>
    <w:p>
      <w:pPr>
        <w:spacing w:line="360" w:lineRule="auto" w:after="120"/>
        <w:ind w:firstLine="420"/>
      </w:pPr>
      <w:r>
        <w:rPr>
          <w:rFonts w:ascii="Times New Roman" w:hAnsi="Times New Roman" w:eastAsia="宋体"/>
          <w:sz w:val="21"/>
        </w:rPr>
        <w:t>这种过程记录机制将可信认知标识从抽象概念落实为可操作的数据结构和审计材料。它既支撑实验分析，也支撑结项答辩、成果展示和后续系统治理。</w:t>
      </w:r>
    </w:p>
    <w:p>
      <w:pPr>
        <w:pStyle w:val="Heading2"/>
      </w:pPr>
      <w:r>
        <w:t>3.7 执行落点解析与原型联动</w:t>
      </w:r>
    </w:p>
    <w:p>
      <w:pPr>
        <w:spacing w:line="360" w:lineRule="auto" w:after="120"/>
        <w:ind w:firstLine="420"/>
      </w:pPr>
      <w:r>
        <w:rPr>
          <w:rFonts w:ascii="Times New Roman" w:hAnsi="Times New Roman" w:eastAsia="宋体"/>
          <w:sz w:val="21"/>
        </w:rPr>
        <w:t>在能力地址确定后，系统还需要与下游执行实例衔接。项目实现了执行落点解析模块，用于在主能力地址既定的前提下，从实例集合中筛选可执行对象。该模块坚持四项原则：只接受与主能力地址精确匹配的实例；不在执行层改写上游能力地址；对离线、缺失 endpoint 或 schema 不兼容实例进行硬过滤；采用可解释评分函数排序候选实例。</w:t>
      </w:r>
    </w:p>
    <w:p>
      <w:pPr>
        <w:spacing w:line="360" w:lineRule="auto" w:after="120"/>
        <w:ind w:firstLine="420"/>
      </w:pPr>
      <w:r>
        <w:rPr>
          <w:rFonts w:ascii="Times New Roman" w:hAnsi="Times New Roman" w:eastAsia="宋体"/>
          <w:sz w:val="21"/>
        </w:rPr>
        <w:t>执行落点解析在本项目中主要作为原型系统链路的一部分，用于说明语义判断结果如何继续进入服务调用流程。当前更充分验证的是能力地址选择、相关能力识别和协作复核机制；执行实例选择已形成原型模块和接口约束，后续仍需结合真实运行环境进一步完成端到端联调。</w:t>
      </w:r>
    </w:p>
    <w:p>
      <w:pPr>
        <w:pStyle w:val="Heading1"/>
      </w:pPr>
      <w:r>
        <w:t>四、数据资产与评测协议</w:t>
      </w:r>
    </w:p>
    <w:p>
      <w:pPr>
        <w:pStyle w:val="Heading2"/>
      </w:pPr>
      <w:r>
        <w:t>4.1 数据集构建</w:t>
      </w:r>
    </w:p>
    <w:p>
      <w:pPr>
        <w:spacing w:line="360" w:lineRule="auto" w:after="120"/>
        <w:ind w:firstLine="420"/>
      </w:pPr>
      <w:r>
        <w:rPr>
          <w:rFonts w:ascii="Times New Roman" w:hAnsi="Times New Roman" w:eastAsia="宋体"/>
          <w:sz w:val="21"/>
        </w:rPr>
        <w:t>为验证项目方法，团队围绕智能体能力命名与语义路由这一典型场景整理形成563条样本的数据资产，并冻结划分为训练集450条、测试集113条。样本覆盖50个命名空间节点、45类主标签。测试集中包含38条带相关能力标注的样本，占比33.63%；同时包含12条多意图样本和4条高风险样本，用于检验复杂边界条件下的方法稳定性。</w:t>
      </w:r>
    </w:p>
    <w:p>
      <w:pPr>
        <w:spacing w:line="360" w:lineRule="auto" w:after="120"/>
        <w:ind w:firstLine="420"/>
      </w:pPr>
      <w:r>
        <w:rPr>
          <w:rFonts w:ascii="Times New Roman" w:hAnsi="Times New Roman" w:eastAsia="宋体"/>
          <w:sz w:val="21"/>
        </w:rPr>
        <w:t>样本标签包括三类：主能力标签、可接受能力集合和相关能力集合。主能力标签用于评价系统是否选对最合适的能力入口；可接受能力集合用于覆盖层级合理回落或等价入口；相关能力集合用于评价系统是否识别出辅助诉求、上下文依赖或协同能力。</w:t>
      </w:r>
    </w:p>
    <w:p>
      <w:pPr>
        <w:pStyle w:val="Heading2"/>
      </w:pPr>
      <w:r>
        <w:t>4.2 冻结评测协议</w:t>
      </w:r>
    </w:p>
    <w:p>
      <w:pPr>
        <w:spacing w:line="360" w:lineRule="auto" w:after="120"/>
        <w:ind w:firstLine="420"/>
      </w:pPr>
      <w:r>
        <w:rPr>
          <w:rFonts w:ascii="Times New Roman" w:hAnsi="Times New Roman" w:eastAsia="宋体"/>
          <w:sz w:val="21"/>
        </w:rPr>
        <w:t>项目采用统一冻结 train/test 协议。训练集用于提示词形式、触发阈值、改判授权门槛和协作配置开发；测试集用于固定配置下的一次性结果报告。该协议避免了把多个历史样本池上的不可比结果混合展示，也使结项报告能够清楚说明不同模块的增益来源。</w:t>
      </w:r>
    </w:p>
    <w:p>
      <w:pPr>
        <w:spacing w:line="360" w:lineRule="auto" w:after="120"/>
        <w:ind w:firstLine="420"/>
      </w:pPr>
      <w:r>
        <w:rPr>
          <w:rFonts w:ascii="Times New Roman" w:hAnsi="Times New Roman" w:eastAsia="宋体"/>
          <w:sz w:val="21"/>
        </w:rPr>
        <w:t>除统一主结果外，项目还开展了扩展配置比较、配对协作消融、后验诊断、累计样本池稳定性分析和调用复杂度代理分析。这些分析共同回答三个问题：结构化语义判别是否有效；多智能体协作是否真正带来净修正；协作收益主要出现在什么类型的样本上。</w:t>
      </w:r>
    </w:p>
    <w:p>
      <w:pPr>
        <w:pStyle w:val="Heading2"/>
      </w:pPr>
      <w:r>
        <w:t>4.3 评测指标</w:t>
      </w:r>
    </w:p>
    <w:p>
      <w:pPr>
        <w:spacing w:line="360" w:lineRule="auto" w:after="120"/>
        <w:ind w:firstLine="420"/>
      </w:pPr>
      <w:r>
        <w:rPr>
          <w:rFonts w:ascii="Times New Roman" w:hAnsi="Times New Roman" w:eastAsia="宋体"/>
          <w:sz w:val="21"/>
        </w:rPr>
        <w:t>项目主要使用以下指标：</w:t>
      </w:r>
    </w:p>
    <w:p>
      <w:pPr>
        <w:pStyle w:val="ListNumber"/>
      </w:pPr>
      <w:r>
        <w:rPr>
          <w:rFonts w:ascii="Times New Roman" w:hAnsi="Times New Roman" w:eastAsia="宋体"/>
          <w:sz w:val="21"/>
        </w:rPr>
        <w:t>主标签准确率：衡量系统是否选对主能力。</w:t>
      </w:r>
    </w:p>
    <w:p>
      <w:pPr>
        <w:pStyle w:val="ListNumber"/>
      </w:pPr>
      <w:r>
        <w:rPr>
          <w:rFonts w:ascii="Times New Roman" w:hAnsi="Times New Roman" w:eastAsia="宋体"/>
          <w:sz w:val="21"/>
        </w:rPr>
        <w:t>可接受准确率：允许命中预定义可接受能力，反映层级合理回落情况。</w:t>
      </w:r>
    </w:p>
    <w:p>
      <w:pPr>
        <w:pStyle w:val="ListNumber"/>
      </w:pPr>
      <w:r>
        <w:rPr>
          <w:rFonts w:ascii="Times New Roman" w:hAnsi="Times New Roman" w:eastAsia="宋体"/>
          <w:sz w:val="21"/>
        </w:rPr>
        <w:t>相关能力召回率和精确率：评价辅助能力和相关能力识别质量。</w:t>
      </w:r>
    </w:p>
    <w:p>
      <w:pPr>
        <w:pStyle w:val="ListNumber"/>
      </w:pPr>
      <w:r>
        <w:rPr>
          <w:rFonts w:ascii="Times New Roman" w:hAnsi="Times New Roman" w:eastAsia="宋体"/>
          <w:sz w:val="21"/>
        </w:rPr>
        <w:t>改判/纠错/误改：评价协作复核相对于参考路径改变了多少样本，其中多少是有效纠错，多少是误改。</w:t>
      </w:r>
    </w:p>
    <w:p>
      <w:pPr>
        <w:pStyle w:val="ListNumber"/>
      </w:pPr>
      <w:r>
        <w:rPr>
          <w:rFonts w:ascii="Times New Roman" w:hAnsi="Times New Roman" w:eastAsia="宋体"/>
          <w:sz w:val="21"/>
        </w:rPr>
        <w:t>协作触发率和调用当量：评价协作复核的工程成本和触发范围。</w:t>
      </w:r>
    </w:p>
    <w:p>
      <w:pPr>
        <w:pStyle w:val="ListNumber"/>
      </w:pPr>
      <w:r>
        <w:rPr>
          <w:rFonts w:ascii="Times New Roman" w:hAnsi="Times New Roman" w:eastAsia="宋体"/>
          <w:sz w:val="21"/>
        </w:rPr>
        <w:t>后验诊断分组结果：分析常规样本、困难边界样本和扩展观察样本中的收益分布。</w:t>
      </w:r>
    </w:p>
    <w:p>
      <w:pPr>
        <w:pStyle w:val="Heading1"/>
      </w:pPr>
      <w:r>
        <w:t>五、实验结果与分析</w:t>
      </w:r>
    </w:p>
    <w:p>
      <w:pPr>
        <w:pStyle w:val="Heading2"/>
      </w:pPr>
      <w:r>
        <w:t>5.1 主结果</w:t>
      </w:r>
    </w:p>
    <w:p>
      <w:pPr>
        <w:spacing w:line="360" w:lineRule="auto" w:after="120"/>
        <w:ind w:firstLine="420"/>
      </w:pPr>
      <w:r>
        <w:rPr>
          <w:rFonts w:ascii="Times New Roman" w:hAnsi="Times New Roman" w:eastAsia="宋体"/>
          <w:sz w:val="21"/>
        </w:rPr>
        <w:t>统一训练/测试协议下的主结果如下。</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vAlign w:val="center"/>
          </w:tcPr>
          <w:p>
            <w:pPr>
              <w:spacing w:after="0"/>
            </w:pPr>
            <w:r/>
            <w:r>
              <w:rPr>
                <w:rFonts w:ascii="Times New Roman" w:hAnsi="Times New Roman" w:eastAsia="宋体"/>
                <w:b/>
                <w:sz w:val="21"/>
              </w:rPr>
              <w:t>系统</w:t>
            </w:r>
          </w:p>
        </w:tc>
        <w:tc>
          <w:tcPr>
            <w:tcW w:type="dxa" w:w="1836"/>
            <w:vAlign w:val="center"/>
          </w:tcPr>
          <w:p>
            <w:pPr>
              <w:spacing w:after="0"/>
            </w:pPr>
            <w:r/>
            <w:r>
              <w:rPr>
                <w:rFonts w:ascii="Times New Roman" w:hAnsi="Times New Roman" w:eastAsia="宋体"/>
                <w:b/>
                <w:sz w:val="21"/>
              </w:rPr>
              <w:t>训练集主准确率</w:t>
            </w:r>
          </w:p>
        </w:tc>
        <w:tc>
          <w:tcPr>
            <w:tcW w:type="dxa" w:w="1836"/>
            <w:vAlign w:val="center"/>
          </w:tcPr>
          <w:p>
            <w:pPr>
              <w:spacing w:after="0"/>
            </w:pPr>
            <w:r/>
            <w:r>
              <w:rPr>
                <w:rFonts w:ascii="Times New Roman" w:hAnsi="Times New Roman" w:eastAsia="宋体"/>
                <w:b/>
                <w:sz w:val="21"/>
              </w:rPr>
              <w:t>测试集主准确率</w:t>
            </w:r>
          </w:p>
        </w:tc>
        <w:tc>
          <w:tcPr>
            <w:tcW w:type="dxa" w:w="1836"/>
            <w:vAlign w:val="center"/>
          </w:tcPr>
          <w:p>
            <w:pPr>
              <w:spacing w:after="0"/>
            </w:pPr>
            <w:r/>
            <w:r>
              <w:rPr>
                <w:rFonts w:ascii="Times New Roman" w:hAnsi="Times New Roman" w:eastAsia="宋体"/>
                <w:b/>
                <w:sz w:val="21"/>
              </w:rPr>
              <w:t>测试集可接受准确率</w:t>
            </w:r>
          </w:p>
        </w:tc>
        <w:tc>
          <w:tcPr>
            <w:tcW w:type="dxa" w:w="1836"/>
            <w:vAlign w:val="center"/>
          </w:tcPr>
          <w:p>
            <w:pPr>
              <w:spacing w:after="0"/>
            </w:pPr>
            <w:r/>
            <w:r>
              <w:rPr>
                <w:rFonts w:ascii="Times New Roman" w:hAnsi="Times New Roman" w:eastAsia="宋体"/>
                <w:b/>
                <w:sz w:val="21"/>
              </w:rPr>
              <w:t>测试集改判/纠错/误改</w:t>
            </w:r>
          </w:p>
        </w:tc>
      </w:tr>
      <w:tr>
        <w:tc>
          <w:tcPr>
            <w:tcW w:type="dxa" w:w="1836"/>
            <w:vAlign w:val="center"/>
          </w:tcPr>
          <w:p>
            <w:pPr>
              <w:spacing w:after="0"/>
            </w:pPr>
            <w:r/>
            <w:r>
              <w:rPr>
                <w:rFonts w:ascii="Times New Roman" w:hAnsi="Times New Roman" w:eastAsia="宋体"/>
                <w:b w:val="0"/>
                <w:sz w:val="21"/>
              </w:rPr>
              <w:t>规则路由基线</w:t>
            </w:r>
          </w:p>
        </w:tc>
        <w:tc>
          <w:tcPr>
            <w:tcW w:type="dxa" w:w="1836"/>
            <w:vAlign w:val="center"/>
          </w:tcPr>
          <w:p>
            <w:pPr>
              <w:spacing w:after="0"/>
            </w:pPr>
            <w:r/>
            <w:r>
              <w:rPr>
                <w:rFonts w:ascii="Times New Roman" w:hAnsi="Times New Roman" w:eastAsia="宋体"/>
                <w:b w:val="0"/>
                <w:sz w:val="21"/>
              </w:rPr>
              <w:t>0.8156（367/450）</w:t>
            </w:r>
          </w:p>
        </w:tc>
        <w:tc>
          <w:tcPr>
            <w:tcW w:type="dxa" w:w="1836"/>
            <w:vAlign w:val="center"/>
          </w:tcPr>
          <w:p>
            <w:pPr>
              <w:spacing w:after="0"/>
            </w:pPr>
            <w:r/>
            <w:r>
              <w:rPr>
                <w:rFonts w:ascii="Times New Roman" w:hAnsi="Times New Roman" w:eastAsia="宋体"/>
                <w:b w:val="0"/>
                <w:sz w:val="21"/>
              </w:rPr>
              <w:t>0.7876（89/113）</w:t>
            </w:r>
          </w:p>
        </w:tc>
        <w:tc>
          <w:tcPr>
            <w:tcW w:type="dxa" w:w="1836"/>
            <w:vAlign w:val="center"/>
          </w:tcPr>
          <w:p>
            <w:pPr>
              <w:spacing w:after="0"/>
            </w:pPr>
            <w:r/>
            <w:r>
              <w:rPr>
                <w:rFonts w:ascii="Times New Roman" w:hAnsi="Times New Roman" w:eastAsia="宋体"/>
                <w:b w:val="0"/>
                <w:sz w:val="21"/>
              </w:rPr>
              <w:t>0.8142</w:t>
            </w:r>
          </w:p>
        </w:tc>
        <w:tc>
          <w:tcPr>
            <w:tcW w:type="dxa" w:w="1836"/>
            <w:vAlign w:val="center"/>
          </w:tcPr>
          <w:p>
            <w:pPr>
              <w:spacing w:after="0"/>
            </w:pPr>
            <w:r/>
            <w:r>
              <w:rPr>
                <w:rFonts w:ascii="Times New Roman" w:hAnsi="Times New Roman" w:eastAsia="宋体"/>
                <w:b w:val="0"/>
                <w:sz w:val="21"/>
              </w:rPr>
              <w:t>-</w:t>
            </w:r>
          </w:p>
        </w:tc>
      </w:tr>
      <w:tr>
        <w:tc>
          <w:tcPr>
            <w:tcW w:type="dxa" w:w="1836"/>
            <w:vAlign w:val="center"/>
          </w:tcPr>
          <w:p>
            <w:pPr>
              <w:spacing w:after="0"/>
            </w:pPr>
            <w:r/>
            <w:r>
              <w:rPr>
                <w:rFonts w:ascii="Times New Roman" w:hAnsi="Times New Roman" w:eastAsia="宋体"/>
                <w:b w:val="0"/>
                <w:sz w:val="21"/>
              </w:rPr>
              <w:t>规则路由基线 + 协作复核</w:t>
            </w:r>
          </w:p>
        </w:tc>
        <w:tc>
          <w:tcPr>
            <w:tcW w:type="dxa" w:w="1836"/>
            <w:vAlign w:val="center"/>
          </w:tcPr>
          <w:p>
            <w:pPr>
              <w:spacing w:after="0"/>
            </w:pPr>
            <w:r/>
            <w:r>
              <w:rPr>
                <w:rFonts w:ascii="Times New Roman" w:hAnsi="Times New Roman" w:eastAsia="宋体"/>
                <w:b w:val="0"/>
                <w:sz w:val="21"/>
              </w:rPr>
              <w:t>0.8244（371/450）</w:t>
            </w:r>
          </w:p>
        </w:tc>
        <w:tc>
          <w:tcPr>
            <w:tcW w:type="dxa" w:w="1836"/>
            <w:vAlign w:val="center"/>
          </w:tcPr>
          <w:p>
            <w:pPr>
              <w:spacing w:after="0"/>
            </w:pPr>
            <w:r/>
            <w:r>
              <w:rPr>
                <w:rFonts w:ascii="Times New Roman" w:hAnsi="Times New Roman" w:eastAsia="宋体"/>
                <w:b w:val="0"/>
                <w:sz w:val="21"/>
              </w:rPr>
              <w:t>0.8053（91/113）</w:t>
            </w:r>
          </w:p>
        </w:tc>
        <w:tc>
          <w:tcPr>
            <w:tcW w:type="dxa" w:w="1836"/>
            <w:vAlign w:val="center"/>
          </w:tcPr>
          <w:p>
            <w:pPr>
              <w:spacing w:after="0"/>
            </w:pPr>
            <w:r/>
            <w:r>
              <w:rPr>
                <w:rFonts w:ascii="Times New Roman" w:hAnsi="Times New Roman" w:eastAsia="宋体"/>
                <w:b w:val="0"/>
                <w:sz w:val="21"/>
              </w:rPr>
              <w:t>0.8319</w:t>
            </w:r>
          </w:p>
        </w:tc>
        <w:tc>
          <w:tcPr>
            <w:tcW w:type="dxa" w:w="1836"/>
            <w:vAlign w:val="center"/>
          </w:tcPr>
          <w:p>
            <w:pPr>
              <w:spacing w:after="0"/>
            </w:pPr>
            <w:r/>
            <w:r>
              <w:rPr>
                <w:rFonts w:ascii="Times New Roman" w:hAnsi="Times New Roman" w:eastAsia="宋体"/>
                <w:b w:val="0"/>
                <w:sz w:val="21"/>
              </w:rPr>
              <w:t>2 / 2 / 0</w:t>
            </w:r>
          </w:p>
        </w:tc>
      </w:tr>
      <w:tr>
        <w:tc>
          <w:tcPr>
            <w:tcW w:type="dxa" w:w="1836"/>
            <w:vAlign w:val="center"/>
          </w:tcPr>
          <w:p>
            <w:pPr>
              <w:spacing w:after="0"/>
            </w:pPr>
            <w:r/>
            <w:r>
              <w:rPr>
                <w:rFonts w:ascii="Times New Roman" w:hAnsi="Times New Roman" w:eastAsia="宋体"/>
                <w:b w:val="0"/>
                <w:sz w:val="21"/>
              </w:rPr>
              <w:t>单智能体结构化语义判别</w:t>
            </w:r>
          </w:p>
        </w:tc>
        <w:tc>
          <w:tcPr>
            <w:tcW w:type="dxa" w:w="1836"/>
            <w:vAlign w:val="center"/>
          </w:tcPr>
          <w:p>
            <w:pPr>
              <w:spacing w:after="0"/>
            </w:pPr>
            <w:r/>
            <w:r>
              <w:rPr>
                <w:rFonts w:ascii="Times New Roman" w:hAnsi="Times New Roman" w:eastAsia="宋体"/>
                <w:b w:val="0"/>
                <w:sz w:val="21"/>
              </w:rPr>
              <w:t>0.8756（394/450）</w:t>
            </w:r>
          </w:p>
        </w:tc>
        <w:tc>
          <w:tcPr>
            <w:tcW w:type="dxa" w:w="1836"/>
            <w:vAlign w:val="center"/>
          </w:tcPr>
          <w:p>
            <w:pPr>
              <w:spacing w:after="0"/>
            </w:pPr>
            <w:r/>
            <w:r>
              <w:rPr>
                <w:rFonts w:ascii="Times New Roman" w:hAnsi="Times New Roman" w:eastAsia="宋体"/>
                <w:b w:val="0"/>
                <w:sz w:val="21"/>
              </w:rPr>
              <w:t>0.8761（99/113）</w:t>
            </w:r>
          </w:p>
        </w:tc>
        <w:tc>
          <w:tcPr>
            <w:tcW w:type="dxa" w:w="1836"/>
            <w:vAlign w:val="center"/>
          </w:tcPr>
          <w:p>
            <w:pPr>
              <w:spacing w:after="0"/>
            </w:pPr>
            <w:r/>
            <w:r>
              <w:rPr>
                <w:rFonts w:ascii="Times New Roman" w:hAnsi="Times New Roman" w:eastAsia="宋体"/>
                <w:b w:val="0"/>
                <w:sz w:val="21"/>
              </w:rPr>
              <w:t>0.9027</w:t>
            </w:r>
          </w:p>
        </w:tc>
        <w:tc>
          <w:tcPr>
            <w:tcW w:type="dxa" w:w="1836"/>
            <w:vAlign w:val="center"/>
          </w:tcPr>
          <w:p>
            <w:pPr>
              <w:spacing w:after="0"/>
            </w:pPr>
            <w:r/>
            <w:r>
              <w:rPr>
                <w:rFonts w:ascii="Times New Roman" w:hAnsi="Times New Roman" w:eastAsia="宋体"/>
                <w:b w:val="0"/>
                <w:sz w:val="21"/>
              </w:rPr>
              <w:t>-</w:t>
            </w:r>
          </w:p>
        </w:tc>
      </w:tr>
      <w:tr>
        <w:tc>
          <w:tcPr>
            <w:tcW w:type="dxa" w:w="1836"/>
            <w:vAlign w:val="center"/>
          </w:tcPr>
          <w:p>
            <w:pPr>
              <w:spacing w:after="0"/>
            </w:pPr>
            <w:r/>
            <w:r>
              <w:rPr>
                <w:rFonts w:ascii="Times New Roman" w:hAnsi="Times New Roman" w:eastAsia="宋体"/>
                <w:b w:val="0"/>
                <w:sz w:val="21"/>
              </w:rPr>
              <w:t>单智能体结构化语义判别 + 默认协作复核</w:t>
            </w:r>
          </w:p>
        </w:tc>
        <w:tc>
          <w:tcPr>
            <w:tcW w:type="dxa" w:w="1836"/>
            <w:vAlign w:val="center"/>
          </w:tcPr>
          <w:p>
            <w:pPr>
              <w:spacing w:after="0"/>
            </w:pPr>
            <w:r/>
            <w:r>
              <w:rPr>
                <w:rFonts w:ascii="Times New Roman" w:hAnsi="Times New Roman" w:eastAsia="宋体"/>
                <w:b w:val="0"/>
                <w:sz w:val="21"/>
              </w:rPr>
              <w:t>0.8844（398/450）</w:t>
            </w:r>
          </w:p>
        </w:tc>
        <w:tc>
          <w:tcPr>
            <w:tcW w:type="dxa" w:w="1836"/>
            <w:vAlign w:val="center"/>
          </w:tcPr>
          <w:p>
            <w:pPr>
              <w:spacing w:after="0"/>
            </w:pPr>
            <w:r/>
            <w:r>
              <w:rPr>
                <w:rFonts w:ascii="Times New Roman" w:hAnsi="Times New Roman" w:eastAsia="宋体"/>
                <w:b w:val="0"/>
                <w:sz w:val="21"/>
              </w:rPr>
              <w:t>0.8850（100/113）</w:t>
            </w:r>
          </w:p>
        </w:tc>
        <w:tc>
          <w:tcPr>
            <w:tcW w:type="dxa" w:w="1836"/>
            <w:vAlign w:val="center"/>
          </w:tcPr>
          <w:p>
            <w:pPr>
              <w:spacing w:after="0"/>
            </w:pPr>
            <w:r/>
            <w:r>
              <w:rPr>
                <w:rFonts w:ascii="Times New Roman" w:hAnsi="Times New Roman" w:eastAsia="宋体"/>
                <w:b w:val="0"/>
                <w:sz w:val="21"/>
              </w:rPr>
              <w:t>0.9115</w:t>
            </w:r>
          </w:p>
        </w:tc>
        <w:tc>
          <w:tcPr>
            <w:tcW w:type="dxa" w:w="1836"/>
            <w:vAlign w:val="center"/>
          </w:tcPr>
          <w:p>
            <w:pPr>
              <w:spacing w:after="0"/>
            </w:pPr>
            <w:r/>
            <w:r>
              <w:rPr>
                <w:rFonts w:ascii="Times New Roman" w:hAnsi="Times New Roman" w:eastAsia="宋体"/>
                <w:b w:val="0"/>
                <w:sz w:val="21"/>
              </w:rPr>
              <w:t>1 / 1 / 0</w:t>
            </w:r>
          </w:p>
        </w:tc>
      </w:tr>
    </w:tbl>
    <w:p/>
    <w:p>
      <w:pPr>
        <w:spacing w:line="360" w:lineRule="auto" w:after="120"/>
        <w:ind w:firstLine="420"/>
      </w:pPr>
      <w:r>
        <w:rPr>
          <w:rFonts w:ascii="Times New Roman" w:hAnsi="Times New Roman" w:eastAsia="宋体"/>
          <w:sz w:val="21"/>
        </w:rPr>
        <w:t>结果表明，结构化语义判别形成了项目方法的主要性能台阶。与规则路由基线相比，测试集主标签准确率由78.76%提升至87.61%，可接受准确率由81.42%提升至90.27%。在此基础上加入默认协作复核后，测试集主标签准确率进一步达到88.50%，且未引入误改。</w:t>
      </w:r>
    </w:p>
    <w:p>
      <w:pPr>
        <w:spacing w:line="360" w:lineRule="auto" w:after="120"/>
        <w:ind w:firstLine="420"/>
      </w:pPr>
      <w:r>
        <w:rPr>
          <w:rFonts w:ascii="Times New Roman" w:hAnsi="Times New Roman" w:eastAsia="宋体"/>
          <w:sz w:val="21"/>
        </w:rPr>
        <w:t>从结项角度看，这组结果证明项目并非只形成概念性框架，而是在真实标签反馈约束下完成了可量化验证。规则基线、单智能体结构化判别和多智能体协作复核之间的分层比较，也说明项目能够解释性能提升来自哪个技术环节。</w:t>
      </w:r>
    </w:p>
    <w:p>
      <w:pPr>
        <w:pStyle w:val="Heading2"/>
      </w:pPr>
      <w:r>
        <w:t>5.2 相关能力识别结果</w:t>
      </w:r>
    </w:p>
    <w:p>
      <w:pPr>
        <w:spacing w:line="360" w:lineRule="auto" w:after="120"/>
        <w:ind w:firstLine="420"/>
      </w:pPr>
      <w:r>
        <w:rPr>
          <w:rFonts w:ascii="Times New Roman" w:hAnsi="Times New Roman" w:eastAsia="宋体"/>
          <w:sz w:val="21"/>
        </w:rPr>
        <w:t>相关能力识别用于衡量系统是否能够识别辅助诉求、上下文相关能力和多意图请求中的配套能力。</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vAlign w:val="center"/>
          </w:tcPr>
          <w:p>
            <w:pPr>
              <w:spacing w:after="0"/>
            </w:pPr>
            <w:r/>
            <w:r>
              <w:rPr>
                <w:rFonts w:ascii="Times New Roman" w:hAnsi="Times New Roman" w:eastAsia="宋体"/>
                <w:b/>
                <w:sz w:val="21"/>
              </w:rPr>
              <w:t>系统</w:t>
            </w:r>
          </w:p>
        </w:tc>
        <w:tc>
          <w:tcPr>
            <w:tcW w:type="dxa" w:w="1836"/>
            <w:vAlign w:val="center"/>
          </w:tcPr>
          <w:p>
            <w:pPr>
              <w:spacing w:after="0"/>
            </w:pPr>
            <w:r/>
            <w:r>
              <w:rPr>
                <w:rFonts w:ascii="Times New Roman" w:hAnsi="Times New Roman" w:eastAsia="宋体"/>
                <w:b/>
                <w:sz w:val="21"/>
              </w:rPr>
              <w:t>训练集相关召回率</w:t>
            </w:r>
          </w:p>
        </w:tc>
        <w:tc>
          <w:tcPr>
            <w:tcW w:type="dxa" w:w="1836"/>
            <w:vAlign w:val="center"/>
          </w:tcPr>
          <w:p>
            <w:pPr>
              <w:spacing w:after="0"/>
            </w:pPr>
            <w:r/>
            <w:r>
              <w:rPr>
                <w:rFonts w:ascii="Times New Roman" w:hAnsi="Times New Roman" w:eastAsia="宋体"/>
                <w:b/>
                <w:sz w:val="21"/>
              </w:rPr>
              <w:t>训练集相关精确率</w:t>
            </w:r>
          </w:p>
        </w:tc>
        <w:tc>
          <w:tcPr>
            <w:tcW w:type="dxa" w:w="1836"/>
            <w:vAlign w:val="center"/>
          </w:tcPr>
          <w:p>
            <w:pPr>
              <w:spacing w:after="0"/>
            </w:pPr>
            <w:r/>
            <w:r>
              <w:rPr>
                <w:rFonts w:ascii="Times New Roman" w:hAnsi="Times New Roman" w:eastAsia="宋体"/>
                <w:b/>
                <w:sz w:val="21"/>
              </w:rPr>
              <w:t>测试集相关召回率</w:t>
            </w:r>
          </w:p>
        </w:tc>
        <w:tc>
          <w:tcPr>
            <w:tcW w:type="dxa" w:w="1836"/>
            <w:vAlign w:val="center"/>
          </w:tcPr>
          <w:p>
            <w:pPr>
              <w:spacing w:after="0"/>
            </w:pPr>
            <w:r/>
            <w:r>
              <w:rPr>
                <w:rFonts w:ascii="Times New Roman" w:hAnsi="Times New Roman" w:eastAsia="宋体"/>
                <w:b/>
                <w:sz w:val="21"/>
              </w:rPr>
              <w:t>测试集相关精确率</w:t>
            </w:r>
          </w:p>
        </w:tc>
      </w:tr>
      <w:tr>
        <w:tc>
          <w:tcPr>
            <w:tcW w:type="dxa" w:w="1836"/>
            <w:vAlign w:val="center"/>
          </w:tcPr>
          <w:p>
            <w:pPr>
              <w:spacing w:after="0"/>
            </w:pPr>
            <w:r/>
            <w:r>
              <w:rPr>
                <w:rFonts w:ascii="Times New Roman" w:hAnsi="Times New Roman" w:eastAsia="宋体"/>
                <w:b w:val="0"/>
                <w:sz w:val="21"/>
              </w:rPr>
              <w:t>规则路由基线</w:t>
            </w:r>
          </w:p>
        </w:tc>
        <w:tc>
          <w:tcPr>
            <w:tcW w:type="dxa" w:w="1836"/>
            <w:vAlign w:val="center"/>
          </w:tcPr>
          <w:p>
            <w:pPr>
              <w:spacing w:after="0"/>
            </w:pPr>
            <w:r/>
            <w:r>
              <w:rPr>
                <w:rFonts w:ascii="Times New Roman" w:hAnsi="Times New Roman" w:eastAsia="宋体"/>
                <w:b w:val="0"/>
                <w:sz w:val="21"/>
              </w:rPr>
              <w:t>0.2822</w:t>
            </w:r>
          </w:p>
        </w:tc>
        <w:tc>
          <w:tcPr>
            <w:tcW w:type="dxa" w:w="1836"/>
            <w:vAlign w:val="center"/>
          </w:tcPr>
          <w:p>
            <w:pPr>
              <w:spacing w:after="0"/>
            </w:pPr>
            <w:r/>
            <w:r>
              <w:rPr>
                <w:rFonts w:ascii="Times New Roman" w:hAnsi="Times New Roman" w:eastAsia="宋体"/>
                <w:b w:val="0"/>
                <w:sz w:val="21"/>
              </w:rPr>
              <w:t>0.3833</w:t>
            </w:r>
          </w:p>
        </w:tc>
        <w:tc>
          <w:tcPr>
            <w:tcW w:type="dxa" w:w="1836"/>
            <w:vAlign w:val="center"/>
          </w:tcPr>
          <w:p>
            <w:pPr>
              <w:spacing w:after="0"/>
            </w:pPr>
            <w:r/>
            <w:r>
              <w:rPr>
                <w:rFonts w:ascii="Times New Roman" w:hAnsi="Times New Roman" w:eastAsia="宋体"/>
                <w:b w:val="0"/>
                <w:sz w:val="21"/>
              </w:rPr>
              <w:t>0.2895</w:t>
            </w:r>
          </w:p>
        </w:tc>
        <w:tc>
          <w:tcPr>
            <w:tcW w:type="dxa" w:w="1836"/>
            <w:vAlign w:val="center"/>
          </w:tcPr>
          <w:p>
            <w:pPr>
              <w:spacing w:after="0"/>
            </w:pPr>
            <w:r/>
            <w:r>
              <w:rPr>
                <w:rFonts w:ascii="Times New Roman" w:hAnsi="Times New Roman" w:eastAsia="宋体"/>
                <w:b w:val="0"/>
                <w:sz w:val="21"/>
              </w:rPr>
              <w:t>0.3793</w:t>
            </w:r>
          </w:p>
        </w:tc>
      </w:tr>
      <w:tr>
        <w:tc>
          <w:tcPr>
            <w:tcW w:type="dxa" w:w="1836"/>
            <w:vAlign w:val="center"/>
          </w:tcPr>
          <w:p>
            <w:pPr>
              <w:spacing w:after="0"/>
            </w:pPr>
            <w:r/>
            <w:r>
              <w:rPr>
                <w:rFonts w:ascii="Times New Roman" w:hAnsi="Times New Roman" w:eastAsia="宋体"/>
                <w:b w:val="0"/>
                <w:sz w:val="21"/>
              </w:rPr>
              <w:t>单智能体结构化语义判别</w:t>
            </w:r>
          </w:p>
        </w:tc>
        <w:tc>
          <w:tcPr>
            <w:tcW w:type="dxa" w:w="1836"/>
            <w:vAlign w:val="center"/>
          </w:tcPr>
          <w:p>
            <w:pPr>
              <w:spacing w:after="0"/>
            </w:pPr>
            <w:r/>
            <w:r>
              <w:rPr>
                <w:rFonts w:ascii="Times New Roman" w:hAnsi="Times New Roman" w:eastAsia="宋体"/>
                <w:b w:val="0"/>
                <w:sz w:val="21"/>
              </w:rPr>
              <w:t>0.3129</w:t>
            </w:r>
          </w:p>
        </w:tc>
        <w:tc>
          <w:tcPr>
            <w:tcW w:type="dxa" w:w="1836"/>
            <w:vAlign w:val="center"/>
          </w:tcPr>
          <w:p>
            <w:pPr>
              <w:spacing w:after="0"/>
            </w:pPr>
            <w:r/>
            <w:r>
              <w:rPr>
                <w:rFonts w:ascii="Times New Roman" w:hAnsi="Times New Roman" w:eastAsia="宋体"/>
                <w:b w:val="0"/>
                <w:sz w:val="21"/>
              </w:rPr>
              <w:t>0.4080</w:t>
            </w:r>
          </w:p>
        </w:tc>
        <w:tc>
          <w:tcPr>
            <w:tcW w:type="dxa" w:w="1836"/>
            <w:vAlign w:val="center"/>
          </w:tcPr>
          <w:p>
            <w:pPr>
              <w:spacing w:after="0"/>
            </w:pPr>
            <w:r/>
            <w:r>
              <w:rPr>
                <w:rFonts w:ascii="Times New Roman" w:hAnsi="Times New Roman" w:eastAsia="宋体"/>
                <w:b w:val="0"/>
                <w:sz w:val="21"/>
              </w:rPr>
              <w:t>0.3684</w:t>
            </w:r>
          </w:p>
        </w:tc>
        <w:tc>
          <w:tcPr>
            <w:tcW w:type="dxa" w:w="1836"/>
            <w:vAlign w:val="center"/>
          </w:tcPr>
          <w:p>
            <w:pPr>
              <w:spacing w:after="0"/>
            </w:pPr>
            <w:r/>
            <w:r>
              <w:rPr>
                <w:rFonts w:ascii="Times New Roman" w:hAnsi="Times New Roman" w:eastAsia="宋体"/>
                <w:b w:val="0"/>
                <w:sz w:val="21"/>
              </w:rPr>
              <w:t>0.4242</w:t>
            </w:r>
          </w:p>
        </w:tc>
      </w:tr>
    </w:tbl>
    <w:p/>
    <w:p>
      <w:pPr>
        <w:spacing w:line="360" w:lineRule="auto" w:after="120"/>
        <w:ind w:firstLine="420"/>
      </w:pPr>
      <w:r>
        <w:rPr>
          <w:rFonts w:ascii="Times New Roman" w:hAnsi="Times New Roman" w:eastAsia="宋体"/>
          <w:sz w:val="21"/>
        </w:rPr>
        <w:t>测试集上，结构化语义判别将相关能力召回率由28.95%提升至36.84%，相关能力精确率由37.93%提升至42.42%。这说明项目方法不仅改善单一主标签选择，也增强了对复合任务结构的识别能力。对于互联网基础资源场景，相关能力识别具有实际意义，因为很多智能体服务调用并不是单一孤立能力，而是由主任务、辅助任务和上下文依赖共同组成。</w:t>
      </w:r>
    </w:p>
    <w:p>
      <w:pPr>
        <w:pStyle w:val="Heading2"/>
      </w:pPr>
      <w:r>
        <w:t>5.3 协作配置与净修正收益</w:t>
      </w:r>
    </w:p>
    <w:p>
      <w:pPr>
        <w:spacing w:line="360" w:lineRule="auto" w:after="120"/>
        <w:ind w:firstLine="420"/>
      </w:pPr>
      <w:r>
        <w:rPr>
          <w:rFonts w:ascii="Times New Roman" w:hAnsi="Times New Roman" w:eastAsia="宋体"/>
          <w:sz w:val="21"/>
        </w:rPr>
        <w:t>项目进一步比较默认配置、选择性配置和扩展配置三种协作决策方式。三种配置均在训练集上确定，再在同一测试集上固定评估。</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vAlign w:val="center"/>
          </w:tcPr>
          <w:p>
            <w:pPr>
              <w:spacing w:after="0"/>
            </w:pPr>
            <w:r/>
            <w:r>
              <w:rPr>
                <w:rFonts w:ascii="Times New Roman" w:hAnsi="Times New Roman" w:eastAsia="宋体"/>
                <w:b/>
                <w:sz w:val="21"/>
              </w:rPr>
              <w:t>配置</w:t>
            </w:r>
          </w:p>
        </w:tc>
        <w:tc>
          <w:tcPr>
            <w:tcW w:type="dxa" w:w="1836"/>
            <w:vAlign w:val="center"/>
          </w:tcPr>
          <w:p>
            <w:pPr>
              <w:spacing w:after="0"/>
            </w:pPr>
            <w:r/>
            <w:r>
              <w:rPr>
                <w:rFonts w:ascii="Times New Roman" w:hAnsi="Times New Roman" w:eastAsia="宋体"/>
                <w:b/>
                <w:sz w:val="21"/>
              </w:rPr>
              <w:t>训练集准确率</w:t>
            </w:r>
          </w:p>
        </w:tc>
        <w:tc>
          <w:tcPr>
            <w:tcW w:type="dxa" w:w="1836"/>
            <w:vAlign w:val="center"/>
          </w:tcPr>
          <w:p>
            <w:pPr>
              <w:spacing w:after="0"/>
            </w:pPr>
            <w:r/>
            <w:r>
              <w:rPr>
                <w:rFonts w:ascii="Times New Roman" w:hAnsi="Times New Roman" w:eastAsia="宋体"/>
                <w:b/>
                <w:sz w:val="21"/>
              </w:rPr>
              <w:t>测试集准确率</w:t>
            </w:r>
          </w:p>
        </w:tc>
        <w:tc>
          <w:tcPr>
            <w:tcW w:type="dxa" w:w="1836"/>
            <w:vAlign w:val="center"/>
          </w:tcPr>
          <w:p>
            <w:pPr>
              <w:spacing w:after="0"/>
            </w:pPr>
            <w:r/>
            <w:r>
              <w:rPr>
                <w:rFonts w:ascii="Times New Roman" w:hAnsi="Times New Roman" w:eastAsia="宋体"/>
                <w:b/>
                <w:sz w:val="21"/>
              </w:rPr>
              <w:t>测试集改判/纠错/误改</w:t>
            </w:r>
          </w:p>
        </w:tc>
        <w:tc>
          <w:tcPr>
            <w:tcW w:type="dxa" w:w="1836"/>
            <w:vAlign w:val="center"/>
          </w:tcPr>
          <w:p>
            <w:pPr>
              <w:spacing w:after="0"/>
            </w:pPr>
            <w:r/>
            <w:r>
              <w:rPr>
                <w:rFonts w:ascii="Times New Roman" w:hAnsi="Times New Roman" w:eastAsia="宋体"/>
                <w:b/>
                <w:sz w:val="21"/>
              </w:rPr>
              <w:t>相对默认配置增量</w:t>
            </w:r>
          </w:p>
        </w:tc>
      </w:tr>
      <w:tr>
        <w:tc>
          <w:tcPr>
            <w:tcW w:type="dxa" w:w="1836"/>
            <w:vAlign w:val="center"/>
          </w:tcPr>
          <w:p>
            <w:pPr>
              <w:spacing w:after="0"/>
            </w:pPr>
            <w:r/>
            <w:r>
              <w:rPr>
                <w:rFonts w:ascii="Times New Roman" w:hAnsi="Times New Roman" w:eastAsia="宋体"/>
                <w:b w:val="0"/>
                <w:sz w:val="21"/>
              </w:rPr>
              <w:t>默认配置</w:t>
            </w:r>
          </w:p>
        </w:tc>
        <w:tc>
          <w:tcPr>
            <w:tcW w:type="dxa" w:w="1836"/>
            <w:vAlign w:val="center"/>
          </w:tcPr>
          <w:p>
            <w:pPr>
              <w:spacing w:after="0"/>
            </w:pPr>
            <w:r/>
            <w:r>
              <w:rPr>
                <w:rFonts w:ascii="Times New Roman" w:hAnsi="Times New Roman" w:eastAsia="宋体"/>
                <w:b w:val="0"/>
                <w:sz w:val="21"/>
              </w:rPr>
              <w:t>0.8800（396/450）</w:t>
            </w:r>
          </w:p>
        </w:tc>
        <w:tc>
          <w:tcPr>
            <w:tcW w:type="dxa" w:w="1836"/>
            <w:vAlign w:val="center"/>
          </w:tcPr>
          <w:p>
            <w:pPr>
              <w:spacing w:after="0"/>
            </w:pPr>
            <w:r/>
            <w:r>
              <w:rPr>
                <w:rFonts w:ascii="Times New Roman" w:hAnsi="Times New Roman" w:eastAsia="宋体"/>
                <w:b w:val="0"/>
                <w:sz w:val="21"/>
              </w:rPr>
              <w:t>0.8850（100/113）</w:t>
            </w:r>
          </w:p>
        </w:tc>
        <w:tc>
          <w:tcPr>
            <w:tcW w:type="dxa" w:w="1836"/>
            <w:vAlign w:val="center"/>
          </w:tcPr>
          <w:p>
            <w:pPr>
              <w:spacing w:after="0"/>
            </w:pPr>
            <w:r/>
            <w:r>
              <w:rPr>
                <w:rFonts w:ascii="Times New Roman" w:hAnsi="Times New Roman" w:eastAsia="宋体"/>
                <w:b w:val="0"/>
                <w:sz w:val="21"/>
              </w:rPr>
              <w:t>-</w:t>
            </w:r>
          </w:p>
        </w:tc>
        <w:tc>
          <w:tcPr>
            <w:tcW w:type="dxa" w:w="1836"/>
            <w:vAlign w:val="center"/>
          </w:tcPr>
          <w:p>
            <w:pPr>
              <w:spacing w:after="0"/>
            </w:pPr>
            <w:r/>
            <w:r>
              <w:rPr>
                <w:rFonts w:ascii="Times New Roman" w:hAnsi="Times New Roman" w:eastAsia="宋体"/>
                <w:b w:val="0"/>
                <w:sz w:val="21"/>
              </w:rPr>
              <w:t>0.0000</w:t>
            </w:r>
          </w:p>
        </w:tc>
      </w:tr>
      <w:tr>
        <w:tc>
          <w:tcPr>
            <w:tcW w:type="dxa" w:w="1836"/>
            <w:vAlign w:val="center"/>
          </w:tcPr>
          <w:p>
            <w:pPr>
              <w:spacing w:after="0"/>
            </w:pPr>
            <w:r/>
            <w:r>
              <w:rPr>
                <w:rFonts w:ascii="Times New Roman" w:hAnsi="Times New Roman" w:eastAsia="宋体"/>
                <w:b w:val="0"/>
                <w:sz w:val="21"/>
              </w:rPr>
              <w:t>选择性配置</w:t>
            </w:r>
          </w:p>
        </w:tc>
        <w:tc>
          <w:tcPr>
            <w:tcW w:type="dxa" w:w="1836"/>
            <w:vAlign w:val="center"/>
          </w:tcPr>
          <w:p>
            <w:pPr>
              <w:spacing w:after="0"/>
            </w:pPr>
            <w:r/>
            <w:r>
              <w:rPr>
                <w:rFonts w:ascii="Times New Roman" w:hAnsi="Times New Roman" w:eastAsia="宋体"/>
                <w:b w:val="0"/>
                <w:sz w:val="21"/>
              </w:rPr>
              <w:t>0.8911（401/450）</w:t>
            </w:r>
          </w:p>
        </w:tc>
        <w:tc>
          <w:tcPr>
            <w:tcW w:type="dxa" w:w="1836"/>
            <w:vAlign w:val="center"/>
          </w:tcPr>
          <w:p>
            <w:pPr>
              <w:spacing w:after="0"/>
            </w:pPr>
            <w:r/>
            <w:r>
              <w:rPr>
                <w:rFonts w:ascii="Times New Roman" w:hAnsi="Times New Roman" w:eastAsia="宋体"/>
                <w:b w:val="0"/>
                <w:sz w:val="21"/>
              </w:rPr>
              <w:t>0.8938（101/113）</w:t>
            </w:r>
          </w:p>
        </w:tc>
        <w:tc>
          <w:tcPr>
            <w:tcW w:type="dxa" w:w="1836"/>
            <w:vAlign w:val="center"/>
          </w:tcPr>
          <w:p>
            <w:pPr>
              <w:spacing w:after="0"/>
            </w:pPr>
            <w:r/>
            <w:r>
              <w:rPr>
                <w:rFonts w:ascii="Times New Roman" w:hAnsi="Times New Roman" w:eastAsia="宋体"/>
                <w:b w:val="0"/>
                <w:sz w:val="21"/>
              </w:rPr>
              <w:t>1 / 1 / 0</w:t>
            </w:r>
          </w:p>
        </w:tc>
        <w:tc>
          <w:tcPr>
            <w:tcW w:type="dxa" w:w="1836"/>
            <w:vAlign w:val="center"/>
          </w:tcPr>
          <w:p>
            <w:pPr>
              <w:spacing w:after="0"/>
            </w:pPr>
            <w:r/>
            <w:r>
              <w:rPr>
                <w:rFonts w:ascii="Times New Roman" w:hAnsi="Times New Roman" w:eastAsia="宋体"/>
                <w:b w:val="0"/>
                <w:sz w:val="21"/>
              </w:rPr>
              <w:t>+0.0088</w:t>
            </w:r>
          </w:p>
        </w:tc>
      </w:tr>
      <w:tr>
        <w:tc>
          <w:tcPr>
            <w:tcW w:type="dxa" w:w="1836"/>
            <w:vAlign w:val="center"/>
          </w:tcPr>
          <w:p>
            <w:pPr>
              <w:spacing w:after="0"/>
            </w:pPr>
            <w:r/>
            <w:r>
              <w:rPr>
                <w:rFonts w:ascii="Times New Roman" w:hAnsi="Times New Roman" w:eastAsia="宋体"/>
                <w:b w:val="0"/>
                <w:sz w:val="21"/>
              </w:rPr>
              <w:t>扩展配置</w:t>
            </w:r>
          </w:p>
        </w:tc>
        <w:tc>
          <w:tcPr>
            <w:tcW w:type="dxa" w:w="1836"/>
            <w:vAlign w:val="center"/>
          </w:tcPr>
          <w:p>
            <w:pPr>
              <w:spacing w:after="0"/>
            </w:pPr>
            <w:r/>
            <w:r>
              <w:rPr>
                <w:rFonts w:ascii="Times New Roman" w:hAnsi="Times New Roman" w:eastAsia="宋体"/>
                <w:b w:val="0"/>
                <w:sz w:val="21"/>
              </w:rPr>
              <w:t>0.8978（404/450）</w:t>
            </w:r>
          </w:p>
        </w:tc>
        <w:tc>
          <w:tcPr>
            <w:tcW w:type="dxa" w:w="1836"/>
            <w:vAlign w:val="center"/>
          </w:tcPr>
          <w:p>
            <w:pPr>
              <w:spacing w:after="0"/>
            </w:pPr>
            <w:r/>
            <w:r>
              <w:rPr>
                <w:rFonts w:ascii="Times New Roman" w:hAnsi="Times New Roman" w:eastAsia="宋体"/>
                <w:b w:val="0"/>
                <w:sz w:val="21"/>
              </w:rPr>
              <w:t>0.9292（105/113）</w:t>
            </w:r>
          </w:p>
        </w:tc>
        <w:tc>
          <w:tcPr>
            <w:tcW w:type="dxa" w:w="1836"/>
            <w:vAlign w:val="center"/>
          </w:tcPr>
          <w:p>
            <w:pPr>
              <w:spacing w:after="0"/>
            </w:pPr>
            <w:r/>
            <w:r>
              <w:rPr>
                <w:rFonts w:ascii="Times New Roman" w:hAnsi="Times New Roman" w:eastAsia="宋体"/>
                <w:b w:val="0"/>
                <w:sz w:val="21"/>
              </w:rPr>
              <w:t>5 / 5 / 0</w:t>
            </w:r>
          </w:p>
        </w:tc>
        <w:tc>
          <w:tcPr>
            <w:tcW w:type="dxa" w:w="1836"/>
            <w:vAlign w:val="center"/>
          </w:tcPr>
          <w:p>
            <w:pPr>
              <w:spacing w:after="0"/>
            </w:pPr>
            <w:r/>
            <w:r>
              <w:rPr>
                <w:rFonts w:ascii="Times New Roman" w:hAnsi="Times New Roman" w:eastAsia="宋体"/>
                <w:b w:val="0"/>
                <w:sz w:val="21"/>
              </w:rPr>
              <w:t>+0.0442</w:t>
            </w:r>
          </w:p>
        </w:tc>
      </w:tr>
    </w:tbl>
    <w:p/>
    <w:p>
      <w:pPr>
        <w:spacing w:line="360" w:lineRule="auto" w:after="120"/>
        <w:ind w:firstLine="420"/>
      </w:pPr>
      <w:r>
        <w:rPr>
          <w:rFonts w:ascii="Times New Roman" w:hAnsi="Times New Roman" w:eastAsia="宋体"/>
          <w:sz w:val="21"/>
        </w:rPr>
        <w:t>扩展配置在训练集和测试集上均保持最高准确率，并在测试集上实现5次改判、5次纠错、0次误改。这一结果说明，多智能体协作的收益并不是来自简单增加复核次数，而是来自职责化证据、触发条件和授权规则之间的配合。默认配置体现高精度保守复核，扩展配置体现更充分释放复杂样本修正潜力。</w:t>
      </w:r>
    </w:p>
    <w:p>
      <w:pPr>
        <w:pStyle w:val="Heading2"/>
      </w:pPr>
      <w:r>
        <w:t>5.4 协作消融分析</w:t>
      </w:r>
    </w:p>
    <w:p>
      <w:pPr>
        <w:spacing w:line="360" w:lineRule="auto" w:after="120"/>
        <w:ind w:firstLine="420"/>
      </w:pPr>
      <w:r>
        <w:rPr>
          <w:rFonts w:ascii="Times New Roman" w:hAnsi="Times New Roman" w:eastAsia="宋体"/>
          <w:sz w:val="21"/>
        </w:rPr>
        <w:t>为判断“职责化协作是否比单角色复核或同质复核更有效”，项目在具备完整复核记录的配对消融样本集上开展比较。该样本集训练侧包含320条样本，测试侧包含80条样本。</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vAlign w:val="center"/>
          </w:tcPr>
          <w:p>
            <w:pPr>
              <w:spacing w:after="0"/>
            </w:pPr>
            <w:r/>
            <w:r>
              <w:rPr>
                <w:rFonts w:ascii="Times New Roman" w:hAnsi="Times New Roman" w:eastAsia="宋体"/>
                <w:b/>
                <w:sz w:val="21"/>
              </w:rPr>
              <w:t>系统</w:t>
            </w:r>
          </w:p>
        </w:tc>
        <w:tc>
          <w:tcPr>
            <w:tcW w:type="dxa" w:w="1836"/>
            <w:vAlign w:val="center"/>
          </w:tcPr>
          <w:p>
            <w:pPr>
              <w:spacing w:after="0"/>
            </w:pPr>
            <w:r/>
            <w:r>
              <w:rPr>
                <w:rFonts w:ascii="Times New Roman" w:hAnsi="Times New Roman" w:eastAsia="宋体"/>
                <w:b/>
                <w:sz w:val="21"/>
              </w:rPr>
              <w:t>训练集准确率</w:t>
            </w:r>
          </w:p>
        </w:tc>
        <w:tc>
          <w:tcPr>
            <w:tcW w:type="dxa" w:w="1836"/>
            <w:vAlign w:val="center"/>
          </w:tcPr>
          <w:p>
            <w:pPr>
              <w:spacing w:after="0"/>
            </w:pPr>
            <w:r/>
            <w:r>
              <w:rPr>
                <w:rFonts w:ascii="Times New Roman" w:hAnsi="Times New Roman" w:eastAsia="宋体"/>
                <w:b/>
                <w:sz w:val="21"/>
              </w:rPr>
              <w:t>训练集改判/纠错/误改</w:t>
            </w:r>
          </w:p>
        </w:tc>
        <w:tc>
          <w:tcPr>
            <w:tcW w:type="dxa" w:w="1836"/>
            <w:vAlign w:val="center"/>
          </w:tcPr>
          <w:p>
            <w:pPr>
              <w:spacing w:after="0"/>
            </w:pPr>
            <w:r/>
            <w:r>
              <w:rPr>
                <w:rFonts w:ascii="Times New Roman" w:hAnsi="Times New Roman" w:eastAsia="宋体"/>
                <w:b/>
                <w:sz w:val="21"/>
              </w:rPr>
              <w:t>测试集准确率</w:t>
            </w:r>
          </w:p>
        </w:tc>
        <w:tc>
          <w:tcPr>
            <w:tcW w:type="dxa" w:w="1836"/>
            <w:vAlign w:val="center"/>
          </w:tcPr>
          <w:p>
            <w:pPr>
              <w:spacing w:after="0"/>
            </w:pPr>
            <w:r/>
            <w:r>
              <w:rPr>
                <w:rFonts w:ascii="Times New Roman" w:hAnsi="Times New Roman" w:eastAsia="宋体"/>
                <w:b/>
                <w:sz w:val="21"/>
              </w:rPr>
              <w:t>测试集改判/纠错/误改</w:t>
            </w:r>
          </w:p>
        </w:tc>
      </w:tr>
      <w:tr>
        <w:tc>
          <w:tcPr>
            <w:tcW w:type="dxa" w:w="1836"/>
            <w:vAlign w:val="center"/>
          </w:tcPr>
          <w:p>
            <w:pPr>
              <w:spacing w:after="0"/>
            </w:pPr>
            <w:r/>
            <w:r>
              <w:rPr>
                <w:rFonts w:ascii="Times New Roman" w:hAnsi="Times New Roman" w:eastAsia="宋体"/>
                <w:b w:val="0"/>
                <w:sz w:val="21"/>
              </w:rPr>
              <w:t>单角色复核</w:t>
            </w:r>
          </w:p>
        </w:tc>
        <w:tc>
          <w:tcPr>
            <w:tcW w:type="dxa" w:w="1836"/>
            <w:vAlign w:val="center"/>
          </w:tcPr>
          <w:p>
            <w:pPr>
              <w:spacing w:after="0"/>
            </w:pPr>
            <w:r/>
            <w:r>
              <w:rPr>
                <w:rFonts w:ascii="Times New Roman" w:hAnsi="Times New Roman" w:eastAsia="宋体"/>
                <w:b w:val="0"/>
                <w:sz w:val="21"/>
              </w:rPr>
              <w:t>0.8875</w:t>
            </w:r>
          </w:p>
        </w:tc>
        <w:tc>
          <w:tcPr>
            <w:tcW w:type="dxa" w:w="1836"/>
            <w:vAlign w:val="center"/>
          </w:tcPr>
          <w:p>
            <w:pPr>
              <w:spacing w:after="0"/>
            </w:pPr>
            <w:r/>
            <w:r>
              <w:rPr>
                <w:rFonts w:ascii="Times New Roman" w:hAnsi="Times New Roman" w:eastAsia="宋体"/>
                <w:b w:val="0"/>
                <w:sz w:val="21"/>
              </w:rPr>
              <w:t>3 / 3 / 0</w:t>
            </w:r>
          </w:p>
        </w:tc>
        <w:tc>
          <w:tcPr>
            <w:tcW w:type="dxa" w:w="1836"/>
            <w:vAlign w:val="center"/>
          </w:tcPr>
          <w:p>
            <w:pPr>
              <w:spacing w:after="0"/>
            </w:pPr>
            <w:r/>
            <w:r>
              <w:rPr>
                <w:rFonts w:ascii="Times New Roman" w:hAnsi="Times New Roman" w:eastAsia="宋体"/>
                <w:b w:val="0"/>
                <w:sz w:val="21"/>
              </w:rPr>
              <w:t>0.8625</w:t>
            </w:r>
          </w:p>
        </w:tc>
        <w:tc>
          <w:tcPr>
            <w:tcW w:type="dxa" w:w="1836"/>
            <w:vAlign w:val="center"/>
          </w:tcPr>
          <w:p>
            <w:pPr>
              <w:spacing w:after="0"/>
            </w:pPr>
            <w:r/>
            <w:r>
              <w:rPr>
                <w:rFonts w:ascii="Times New Roman" w:hAnsi="Times New Roman" w:eastAsia="宋体"/>
                <w:b w:val="0"/>
                <w:sz w:val="21"/>
              </w:rPr>
              <w:t>0 / 0 / 0</w:t>
            </w:r>
          </w:p>
        </w:tc>
      </w:tr>
      <w:tr>
        <w:tc>
          <w:tcPr>
            <w:tcW w:type="dxa" w:w="1836"/>
            <w:vAlign w:val="center"/>
          </w:tcPr>
          <w:p>
            <w:pPr>
              <w:spacing w:after="0"/>
            </w:pPr>
            <w:r/>
            <w:r>
              <w:rPr>
                <w:rFonts w:ascii="Times New Roman" w:hAnsi="Times New Roman" w:eastAsia="宋体"/>
                <w:b w:val="0"/>
                <w:sz w:val="21"/>
              </w:rPr>
              <w:t>同质复核</w:t>
            </w:r>
          </w:p>
        </w:tc>
        <w:tc>
          <w:tcPr>
            <w:tcW w:type="dxa" w:w="1836"/>
            <w:vAlign w:val="center"/>
          </w:tcPr>
          <w:p>
            <w:pPr>
              <w:spacing w:after="0"/>
            </w:pPr>
            <w:r/>
            <w:r>
              <w:rPr>
                <w:rFonts w:ascii="Times New Roman" w:hAnsi="Times New Roman" w:eastAsia="宋体"/>
                <w:b w:val="0"/>
                <w:sz w:val="21"/>
              </w:rPr>
              <w:t>0.8844</w:t>
            </w:r>
          </w:p>
        </w:tc>
        <w:tc>
          <w:tcPr>
            <w:tcW w:type="dxa" w:w="1836"/>
            <w:vAlign w:val="center"/>
          </w:tcPr>
          <w:p>
            <w:pPr>
              <w:spacing w:after="0"/>
            </w:pPr>
            <w:r/>
            <w:r>
              <w:rPr>
                <w:rFonts w:ascii="Times New Roman" w:hAnsi="Times New Roman" w:eastAsia="宋体"/>
                <w:b w:val="0"/>
                <w:sz w:val="21"/>
              </w:rPr>
              <w:t>2 / 2 / 0</w:t>
            </w:r>
          </w:p>
        </w:tc>
        <w:tc>
          <w:tcPr>
            <w:tcW w:type="dxa" w:w="1836"/>
            <w:vAlign w:val="center"/>
          </w:tcPr>
          <w:p>
            <w:pPr>
              <w:spacing w:after="0"/>
            </w:pPr>
            <w:r/>
            <w:r>
              <w:rPr>
                <w:rFonts w:ascii="Times New Roman" w:hAnsi="Times New Roman" w:eastAsia="宋体"/>
                <w:b w:val="0"/>
                <w:sz w:val="21"/>
              </w:rPr>
              <w:t>0.8625</w:t>
            </w:r>
          </w:p>
        </w:tc>
        <w:tc>
          <w:tcPr>
            <w:tcW w:type="dxa" w:w="1836"/>
            <w:vAlign w:val="center"/>
          </w:tcPr>
          <w:p>
            <w:pPr>
              <w:spacing w:after="0"/>
            </w:pPr>
            <w:r/>
            <w:r>
              <w:rPr>
                <w:rFonts w:ascii="Times New Roman" w:hAnsi="Times New Roman" w:eastAsia="宋体"/>
                <w:b w:val="0"/>
                <w:sz w:val="21"/>
              </w:rPr>
              <w:t>0 / 0 / 0</w:t>
            </w:r>
          </w:p>
        </w:tc>
      </w:tr>
      <w:tr>
        <w:tc>
          <w:tcPr>
            <w:tcW w:type="dxa" w:w="1836"/>
            <w:vAlign w:val="center"/>
          </w:tcPr>
          <w:p>
            <w:pPr>
              <w:spacing w:after="0"/>
            </w:pPr>
            <w:r/>
            <w:r>
              <w:rPr>
                <w:rFonts w:ascii="Times New Roman" w:hAnsi="Times New Roman" w:eastAsia="宋体"/>
                <w:b w:val="0"/>
                <w:sz w:val="21"/>
              </w:rPr>
              <w:t>职责化协作复核（扩展配置）</w:t>
            </w:r>
          </w:p>
        </w:tc>
        <w:tc>
          <w:tcPr>
            <w:tcW w:type="dxa" w:w="1836"/>
            <w:vAlign w:val="center"/>
          </w:tcPr>
          <w:p>
            <w:pPr>
              <w:spacing w:after="0"/>
            </w:pPr>
            <w:r/>
            <w:r>
              <w:rPr>
                <w:rFonts w:ascii="Times New Roman" w:hAnsi="Times New Roman" w:eastAsia="宋体"/>
                <w:b w:val="0"/>
                <w:sz w:val="21"/>
              </w:rPr>
              <w:t>0.9187</w:t>
            </w:r>
          </w:p>
        </w:tc>
        <w:tc>
          <w:tcPr>
            <w:tcW w:type="dxa" w:w="1836"/>
            <w:vAlign w:val="center"/>
          </w:tcPr>
          <w:p>
            <w:pPr>
              <w:spacing w:after="0"/>
            </w:pPr>
            <w:r/>
            <w:r>
              <w:rPr>
                <w:rFonts w:ascii="Times New Roman" w:hAnsi="Times New Roman" w:eastAsia="宋体"/>
                <w:b w:val="0"/>
                <w:sz w:val="21"/>
              </w:rPr>
              <w:t>13 / 13 / 0</w:t>
            </w:r>
          </w:p>
        </w:tc>
        <w:tc>
          <w:tcPr>
            <w:tcW w:type="dxa" w:w="1836"/>
            <w:vAlign w:val="center"/>
          </w:tcPr>
          <w:p>
            <w:pPr>
              <w:spacing w:after="0"/>
            </w:pPr>
            <w:r/>
            <w:r>
              <w:rPr>
                <w:rFonts w:ascii="Times New Roman" w:hAnsi="Times New Roman" w:eastAsia="宋体"/>
                <w:b w:val="0"/>
                <w:sz w:val="21"/>
              </w:rPr>
              <w:t>0.9250</w:t>
            </w:r>
          </w:p>
        </w:tc>
        <w:tc>
          <w:tcPr>
            <w:tcW w:type="dxa" w:w="1836"/>
            <w:vAlign w:val="center"/>
          </w:tcPr>
          <w:p>
            <w:pPr>
              <w:spacing w:after="0"/>
            </w:pPr>
            <w:r/>
            <w:r>
              <w:rPr>
                <w:rFonts w:ascii="Times New Roman" w:hAnsi="Times New Roman" w:eastAsia="宋体"/>
                <w:b w:val="0"/>
                <w:sz w:val="21"/>
              </w:rPr>
              <w:t>5 / 5 / 0</w:t>
            </w:r>
          </w:p>
        </w:tc>
      </w:tr>
    </w:tbl>
    <w:p/>
    <w:p>
      <w:pPr>
        <w:spacing w:line="360" w:lineRule="auto" w:after="120"/>
        <w:ind w:firstLine="420"/>
      </w:pPr>
      <w:r>
        <w:rPr>
          <w:rFonts w:ascii="Times New Roman" w:hAnsi="Times New Roman" w:eastAsia="宋体"/>
          <w:sz w:val="21"/>
        </w:rPr>
        <w:t>结果显示，单角色复核和同质复核在测试侧未超越单智能体结构化判别基线，而职责化协作复核在扩展配置下将测试准确率提升至92.50%，并实现5次有效纠错、0次误改。这说明项目中的“多智能体协作”不是形式上的多角色堆叠，而是通过职责分工和授权控制发挥作用。</w:t>
      </w:r>
    </w:p>
    <w:p>
      <w:pPr>
        <w:pStyle w:val="Heading2"/>
      </w:pPr>
      <w:r>
        <w:t>5.5 后验诊断分析</w:t>
      </w:r>
    </w:p>
    <w:p>
      <w:pPr>
        <w:spacing w:line="360" w:lineRule="auto" w:after="120"/>
        <w:ind w:firstLine="420"/>
      </w:pPr>
      <w:r>
        <w:rPr>
          <w:rFonts w:ascii="Times New Roman" w:hAnsi="Times New Roman" w:eastAsia="宋体"/>
          <w:sz w:val="21"/>
        </w:rPr>
        <w:t>项目将测试集划分为常规样本池、困难边界样本池和扩展观察样本池，用于分析收益分布。</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vAlign w:val="center"/>
          </w:tcPr>
          <w:p>
            <w:pPr>
              <w:spacing w:after="0"/>
            </w:pPr>
            <w:r/>
            <w:r>
              <w:rPr>
                <w:rFonts w:ascii="Times New Roman" w:hAnsi="Times New Roman" w:eastAsia="宋体"/>
                <w:b/>
                <w:sz w:val="21"/>
              </w:rPr>
              <w:t>诊断样本池</w:t>
            </w:r>
          </w:p>
        </w:tc>
        <w:tc>
          <w:tcPr>
            <w:tcW w:type="dxa" w:w="2294"/>
            <w:vAlign w:val="center"/>
          </w:tcPr>
          <w:p>
            <w:pPr>
              <w:spacing w:after="0"/>
            </w:pPr>
            <w:r/>
            <w:r>
              <w:rPr>
                <w:rFonts w:ascii="Times New Roman" w:hAnsi="Times New Roman" w:eastAsia="宋体"/>
                <w:b/>
                <w:sz w:val="21"/>
              </w:rPr>
              <w:t>样本数</w:t>
            </w:r>
          </w:p>
        </w:tc>
        <w:tc>
          <w:tcPr>
            <w:tcW w:type="dxa" w:w="2294"/>
            <w:vAlign w:val="center"/>
          </w:tcPr>
          <w:p>
            <w:pPr>
              <w:spacing w:after="0"/>
            </w:pPr>
            <w:r/>
            <w:r>
              <w:rPr>
                <w:rFonts w:ascii="Times New Roman" w:hAnsi="Times New Roman" w:eastAsia="宋体"/>
                <w:b/>
                <w:sz w:val="21"/>
              </w:rPr>
              <w:t>单智能体结构化判别</w:t>
            </w:r>
          </w:p>
        </w:tc>
        <w:tc>
          <w:tcPr>
            <w:tcW w:type="dxa" w:w="2294"/>
            <w:vAlign w:val="center"/>
          </w:tcPr>
          <w:p>
            <w:pPr>
              <w:spacing w:after="0"/>
            </w:pPr>
            <w:r/>
            <w:r>
              <w:rPr>
                <w:rFonts w:ascii="Times New Roman" w:hAnsi="Times New Roman" w:eastAsia="宋体"/>
                <w:b/>
                <w:sz w:val="21"/>
              </w:rPr>
              <w:t>单智能体结构化判别 + 协作复核</w:t>
            </w:r>
          </w:p>
        </w:tc>
      </w:tr>
      <w:tr>
        <w:tc>
          <w:tcPr>
            <w:tcW w:type="dxa" w:w="2294"/>
            <w:vAlign w:val="center"/>
          </w:tcPr>
          <w:p>
            <w:pPr>
              <w:spacing w:after="0"/>
            </w:pPr>
            <w:r/>
            <w:r>
              <w:rPr>
                <w:rFonts w:ascii="Times New Roman" w:hAnsi="Times New Roman" w:eastAsia="宋体"/>
                <w:b w:val="0"/>
                <w:sz w:val="21"/>
              </w:rPr>
              <w:t>常规样本池</w:t>
            </w:r>
          </w:p>
        </w:tc>
        <w:tc>
          <w:tcPr>
            <w:tcW w:type="dxa" w:w="2294"/>
            <w:vAlign w:val="center"/>
          </w:tcPr>
          <w:p>
            <w:pPr>
              <w:spacing w:after="0"/>
            </w:pPr>
            <w:r/>
            <w:r>
              <w:rPr>
                <w:rFonts w:ascii="Times New Roman" w:hAnsi="Times New Roman" w:eastAsia="宋体"/>
                <w:b w:val="0"/>
                <w:sz w:val="21"/>
              </w:rPr>
              <w:t>35</w:t>
            </w:r>
          </w:p>
        </w:tc>
        <w:tc>
          <w:tcPr>
            <w:tcW w:type="dxa" w:w="2294"/>
            <w:vAlign w:val="center"/>
          </w:tcPr>
          <w:p>
            <w:pPr>
              <w:spacing w:after="0"/>
            </w:pPr>
            <w:r/>
            <w:r>
              <w:rPr>
                <w:rFonts w:ascii="Times New Roman" w:hAnsi="Times New Roman" w:eastAsia="宋体"/>
                <w:b w:val="0"/>
                <w:sz w:val="21"/>
              </w:rPr>
              <w:t>0.9143</w:t>
            </w:r>
          </w:p>
        </w:tc>
        <w:tc>
          <w:tcPr>
            <w:tcW w:type="dxa" w:w="2294"/>
            <w:vAlign w:val="center"/>
          </w:tcPr>
          <w:p>
            <w:pPr>
              <w:spacing w:after="0"/>
            </w:pPr>
            <w:r/>
            <w:r>
              <w:rPr>
                <w:rFonts w:ascii="Times New Roman" w:hAnsi="Times New Roman" w:eastAsia="宋体"/>
                <w:b w:val="0"/>
                <w:sz w:val="21"/>
              </w:rPr>
              <w:t>0.9143</w:t>
            </w:r>
          </w:p>
        </w:tc>
      </w:tr>
      <w:tr>
        <w:tc>
          <w:tcPr>
            <w:tcW w:type="dxa" w:w="2294"/>
            <w:vAlign w:val="center"/>
          </w:tcPr>
          <w:p>
            <w:pPr>
              <w:spacing w:after="0"/>
            </w:pPr>
            <w:r/>
            <w:r>
              <w:rPr>
                <w:rFonts w:ascii="Times New Roman" w:hAnsi="Times New Roman" w:eastAsia="宋体"/>
                <w:b w:val="0"/>
                <w:sz w:val="21"/>
              </w:rPr>
              <w:t>困难边界样本池</w:t>
            </w:r>
          </w:p>
        </w:tc>
        <w:tc>
          <w:tcPr>
            <w:tcW w:type="dxa" w:w="2294"/>
            <w:vAlign w:val="center"/>
          </w:tcPr>
          <w:p>
            <w:pPr>
              <w:spacing w:after="0"/>
            </w:pPr>
            <w:r/>
            <w:r>
              <w:rPr>
                <w:rFonts w:ascii="Times New Roman" w:hAnsi="Times New Roman" w:eastAsia="宋体"/>
                <w:b w:val="0"/>
                <w:sz w:val="21"/>
              </w:rPr>
              <w:t>24</w:t>
            </w:r>
          </w:p>
        </w:tc>
        <w:tc>
          <w:tcPr>
            <w:tcW w:type="dxa" w:w="2294"/>
            <w:vAlign w:val="center"/>
          </w:tcPr>
          <w:p>
            <w:pPr>
              <w:spacing w:after="0"/>
            </w:pPr>
            <w:r/>
            <w:r>
              <w:rPr>
                <w:rFonts w:ascii="Times New Roman" w:hAnsi="Times New Roman" w:eastAsia="宋体"/>
                <w:b w:val="0"/>
                <w:sz w:val="21"/>
              </w:rPr>
              <w:t>0.6250</w:t>
            </w:r>
          </w:p>
        </w:tc>
        <w:tc>
          <w:tcPr>
            <w:tcW w:type="dxa" w:w="2294"/>
            <w:vAlign w:val="center"/>
          </w:tcPr>
          <w:p>
            <w:pPr>
              <w:spacing w:after="0"/>
            </w:pPr>
            <w:r/>
            <w:r>
              <w:rPr>
                <w:rFonts w:ascii="Times New Roman" w:hAnsi="Times New Roman" w:eastAsia="宋体"/>
                <w:b w:val="0"/>
                <w:sz w:val="21"/>
              </w:rPr>
              <w:t>0.6667</w:t>
            </w:r>
          </w:p>
        </w:tc>
      </w:tr>
      <w:tr>
        <w:tc>
          <w:tcPr>
            <w:tcW w:type="dxa" w:w="2294"/>
            <w:vAlign w:val="center"/>
          </w:tcPr>
          <w:p>
            <w:pPr>
              <w:spacing w:after="0"/>
            </w:pPr>
            <w:r/>
            <w:r>
              <w:rPr>
                <w:rFonts w:ascii="Times New Roman" w:hAnsi="Times New Roman" w:eastAsia="宋体"/>
                <w:b w:val="0"/>
                <w:sz w:val="21"/>
              </w:rPr>
              <w:t>扩展观察样本池</w:t>
            </w:r>
          </w:p>
        </w:tc>
        <w:tc>
          <w:tcPr>
            <w:tcW w:type="dxa" w:w="2294"/>
            <w:vAlign w:val="center"/>
          </w:tcPr>
          <w:p>
            <w:pPr>
              <w:spacing w:after="0"/>
            </w:pPr>
            <w:r/>
            <w:r>
              <w:rPr>
                <w:rFonts w:ascii="Times New Roman" w:hAnsi="Times New Roman" w:eastAsia="宋体"/>
                <w:b w:val="0"/>
                <w:sz w:val="21"/>
              </w:rPr>
              <w:t>54</w:t>
            </w:r>
          </w:p>
        </w:tc>
        <w:tc>
          <w:tcPr>
            <w:tcW w:type="dxa" w:w="2294"/>
            <w:vAlign w:val="center"/>
          </w:tcPr>
          <w:p>
            <w:pPr>
              <w:spacing w:after="0"/>
            </w:pPr>
            <w:r/>
            <w:r>
              <w:rPr>
                <w:rFonts w:ascii="Times New Roman" w:hAnsi="Times New Roman" w:eastAsia="宋体"/>
                <w:b w:val="0"/>
                <w:sz w:val="21"/>
              </w:rPr>
              <w:t>0.8889</w:t>
            </w:r>
          </w:p>
        </w:tc>
        <w:tc>
          <w:tcPr>
            <w:tcW w:type="dxa" w:w="2294"/>
            <w:vAlign w:val="center"/>
          </w:tcPr>
          <w:p>
            <w:pPr>
              <w:spacing w:after="0"/>
            </w:pPr>
            <w:r/>
            <w:r>
              <w:rPr>
                <w:rFonts w:ascii="Times New Roman" w:hAnsi="Times New Roman" w:eastAsia="宋体"/>
                <w:b w:val="0"/>
                <w:sz w:val="21"/>
              </w:rPr>
              <w:t>0.9074</w:t>
            </w:r>
          </w:p>
        </w:tc>
      </w:tr>
    </w:tbl>
    <w:p/>
    <w:p>
      <w:pPr>
        <w:spacing w:line="360" w:lineRule="auto" w:after="120"/>
        <w:ind w:firstLine="420"/>
      </w:pPr>
      <w:r>
        <w:rPr>
          <w:rFonts w:ascii="Times New Roman" w:hAnsi="Times New Roman" w:eastAsia="宋体"/>
          <w:sz w:val="21"/>
        </w:rPr>
        <w:t>结果显示，常规样本池中结构化判别已经达到较高水平，协作复核主要保持该结果；困难边界样本池和扩展观察样本池中，协作复核带来进一步提升。这与项目设计预期一致：多智能体协作不是覆盖所有请求的统一慢路径，而是针对复杂、低置信、高风险和多意图样本的条件化增强机制。</w:t>
      </w:r>
    </w:p>
    <w:p>
      <w:pPr>
        <w:pStyle w:val="Heading2"/>
      </w:pPr>
      <w:r>
        <w:t>5.6 调用复杂度代理分析</w:t>
      </w:r>
    </w:p>
    <w:p>
      <w:pPr>
        <w:spacing w:line="360" w:lineRule="auto" w:after="120"/>
        <w:ind w:firstLine="420"/>
      </w:pPr>
      <w:r>
        <w:rPr>
          <w:rFonts w:ascii="Times New Roman" w:hAnsi="Times New Roman" w:eastAsia="宋体"/>
          <w:sz w:val="21"/>
        </w:rPr>
        <w:t>默认配置下，单智能体结构化判别是每个请求的必经基础调用；协作复核只在满足触发条件时启动。测试集中共有50/113个样本进入协作复核，触发率为44.25%；进入协作样本的平均角色调用数为4.72次，第二轮复核占比为18.00%；按调用当量估算，平均每个请求额外增加2.09次协作角色调用，总调用当量约为3.09次/请求。</w:t>
      </w:r>
    </w:p>
    <w:p>
      <w:pPr>
        <w:spacing w:line="360" w:lineRule="auto" w:after="120"/>
        <w:ind w:firstLine="420"/>
      </w:pPr>
      <w:r>
        <w:rPr>
          <w:rFonts w:ascii="Times New Roman" w:hAnsi="Times New Roman" w:eastAsia="宋体"/>
          <w:sz w:val="21"/>
        </w:rPr>
        <w:t>这说明项目方法没有把所有请求都送入高成本协作链路，而是将协作资源集中用于更可能发生复杂边界问题的样本。对于后续工程化部署，仍需补充更完整的 token、时延、接口稳定性和资源消耗日志，以形成质量-成本联合评估。</w:t>
      </w:r>
    </w:p>
    <w:p>
      <w:pPr>
        <w:pStyle w:val="Heading2"/>
      </w:pPr>
      <w:r>
        <w:t>5.7 实验结论</w:t>
      </w:r>
    </w:p>
    <w:p>
      <w:pPr>
        <w:spacing w:line="360" w:lineRule="auto" w:after="120"/>
        <w:ind w:firstLine="420"/>
      </w:pPr>
      <w:r>
        <w:rPr>
          <w:rFonts w:ascii="Times New Roman" w:hAnsi="Times New Roman" w:eastAsia="宋体"/>
          <w:sz w:val="21"/>
        </w:rPr>
        <w:t>综合主结果、相关能力识别、协作配置、配对消融、后验诊断和复杂度分析，项目形成以下结论：</w:t>
      </w:r>
    </w:p>
    <w:p>
      <w:pPr>
        <w:pStyle w:val="ListNumber"/>
      </w:pPr>
      <w:r>
        <w:rPr>
          <w:rFonts w:ascii="Times New Roman" w:hAnsi="Times New Roman" w:eastAsia="宋体"/>
          <w:sz w:val="21"/>
        </w:rPr>
        <w:t>固定候选边界内的结构化语义判别是性能提升的主要来源。</w:t>
      </w:r>
    </w:p>
    <w:p>
      <w:pPr>
        <w:pStyle w:val="ListNumber"/>
      </w:pPr>
      <w:r>
        <w:rPr>
          <w:rFonts w:ascii="Times New Roman" w:hAnsi="Times New Roman" w:eastAsia="宋体"/>
          <w:sz w:val="21"/>
        </w:rPr>
        <w:t>多智能体协作复核在复杂样本上具有净修正价值，但其收益依赖职责分工、结构化证据和授权边界。</w:t>
      </w:r>
    </w:p>
    <w:p>
      <w:pPr>
        <w:pStyle w:val="ListNumber"/>
      </w:pPr>
      <w:r>
        <w:rPr>
          <w:rFonts w:ascii="Times New Roman" w:hAnsi="Times New Roman" w:eastAsia="宋体"/>
          <w:sz w:val="21"/>
        </w:rPr>
        <w:t>可信过程记录能够将结果分析从最终准确率扩展到候选、判断、复核、授权和执行接口等过程环节。</w:t>
      </w:r>
    </w:p>
    <w:p>
      <w:pPr>
        <w:pStyle w:val="ListNumber"/>
      </w:pPr>
      <w:r>
        <w:rPr>
          <w:rFonts w:ascii="Times New Roman" w:hAnsi="Times New Roman" w:eastAsia="宋体"/>
          <w:sz w:val="21"/>
        </w:rPr>
        <w:t>典型场景验证结果支撑任务书提出的“稳定性、可控性、可解释性”研究目标。</w:t>
      </w:r>
    </w:p>
    <w:p>
      <w:pPr>
        <w:pStyle w:val="Heading1"/>
      </w:pPr>
      <w:r>
        <w:t>六、原型系统与工程实现</w:t>
      </w:r>
    </w:p>
    <w:p>
      <w:pPr>
        <w:pStyle w:val="Heading2"/>
      </w:pPr>
      <w:r>
        <w:t>6.1 原型系统组成</w:t>
      </w:r>
    </w:p>
    <w:p>
      <w:pPr>
        <w:spacing w:line="360" w:lineRule="auto" w:after="120"/>
        <w:ind w:firstLine="420"/>
      </w:pPr>
      <w:r>
        <w:rPr>
          <w:rFonts w:ascii="Times New Roman" w:hAnsi="Times New Roman" w:eastAsia="宋体"/>
          <w:sz w:val="21"/>
        </w:rPr>
        <w:t>项目形成了面向智能体能力命名与协作复核的原型系统。系统覆盖自然语言请求输入、候选集合构造、规则快路径判断、单智能体结构化语义判别、多智能体职责化复核、显式授权改判、结果展示和执行落点衔接等环节。</w:t>
      </w:r>
    </w:p>
    <w:p>
      <w:pPr>
        <w:spacing w:line="360" w:lineRule="auto" w:after="120"/>
        <w:ind w:firstLine="420"/>
      </w:pPr>
      <w:r>
        <w:rPr>
          <w:rFonts w:ascii="Times New Roman" w:hAnsi="Times New Roman" w:eastAsia="宋体"/>
          <w:sz w:val="21"/>
        </w:rPr>
        <w:t>从工程结构看，核心代码主要位于 src/agentdns_routing/，包括：</w:t>
      </w:r>
    </w:p>
    <w:tbl>
      <w:tblPr>
        <w:tblStyle w:val="TableGrid"/>
        <w:tblW w:type="auto" w:w="0"/>
        <w:jc w:val="center"/>
        <w:tblLook w:firstColumn="1" w:firstRow="1" w:lastColumn="0" w:lastRow="0" w:noHBand="0" w:noVBand="1" w:val="04A0"/>
      </w:tblPr>
      <w:tblGrid>
        <w:gridCol w:w="4589"/>
        <w:gridCol w:w="4589"/>
      </w:tblGrid>
      <w:tr>
        <w:tc>
          <w:tcPr>
            <w:tcW w:type="dxa" w:w="4589"/>
            <w:vAlign w:val="center"/>
          </w:tcPr>
          <w:p>
            <w:pPr>
              <w:spacing w:after="0"/>
            </w:pPr>
            <w:r/>
            <w:r>
              <w:rPr>
                <w:rFonts w:ascii="Times New Roman" w:hAnsi="Times New Roman" w:eastAsia="宋体"/>
                <w:b/>
                <w:sz w:val="21"/>
              </w:rPr>
              <w:t>模块</w:t>
            </w:r>
          </w:p>
        </w:tc>
        <w:tc>
          <w:tcPr>
            <w:tcW w:type="dxa" w:w="4589"/>
            <w:vAlign w:val="center"/>
          </w:tcPr>
          <w:p>
            <w:pPr>
              <w:spacing w:after="0"/>
            </w:pPr>
            <w:r/>
            <w:r>
              <w:rPr>
                <w:rFonts w:ascii="Times New Roman" w:hAnsi="Times New Roman" w:eastAsia="宋体"/>
                <w:b/>
                <w:sz w:val="21"/>
              </w:rPr>
              <w:t>作用</w:t>
            </w:r>
          </w:p>
        </w:tc>
      </w:tr>
      <w:tr>
        <w:tc>
          <w:tcPr>
            <w:tcW w:type="dxa" w:w="4589"/>
            <w:vAlign w:val="center"/>
          </w:tcPr>
          <w:p>
            <w:pPr>
              <w:spacing w:after="0"/>
            </w:pPr>
            <w:r/>
            <w:r>
              <w:rPr>
                <w:rFonts w:ascii="Times New Roman" w:hAnsi="Times New Roman" w:eastAsia="宋体"/>
                <w:b w:val="0"/>
                <w:sz w:val="21"/>
              </w:rPr>
              <w:t>namespace.py</w:t>
            </w:r>
          </w:p>
        </w:tc>
        <w:tc>
          <w:tcPr>
            <w:tcW w:type="dxa" w:w="4589"/>
            <w:vAlign w:val="center"/>
          </w:tcPr>
          <w:p>
            <w:pPr>
              <w:spacing w:after="0"/>
            </w:pPr>
            <w:r/>
            <w:r>
              <w:rPr>
                <w:rFonts w:ascii="Times New Roman" w:hAnsi="Times New Roman" w:eastAsia="宋体"/>
                <w:b w:val="0"/>
                <w:sz w:val="21"/>
              </w:rPr>
              <w:t>命名空间、能力节点和地址对象管理</w:t>
            </w:r>
          </w:p>
        </w:tc>
      </w:tr>
      <w:tr>
        <w:tc>
          <w:tcPr>
            <w:tcW w:type="dxa" w:w="4589"/>
            <w:vAlign w:val="center"/>
          </w:tcPr>
          <w:p>
            <w:pPr>
              <w:spacing w:after="0"/>
            </w:pPr>
            <w:r/>
            <w:r>
              <w:rPr>
                <w:rFonts w:ascii="Times New Roman" w:hAnsi="Times New Roman" w:eastAsia="宋体"/>
                <w:b w:val="0"/>
                <w:sz w:val="21"/>
              </w:rPr>
              <w:t>stage_r_clean.py</w:t>
            </w:r>
          </w:p>
        </w:tc>
        <w:tc>
          <w:tcPr>
            <w:tcW w:type="dxa" w:w="4589"/>
            <w:vAlign w:val="center"/>
          </w:tcPr>
          <w:p>
            <w:pPr>
              <w:spacing w:after="0"/>
            </w:pPr>
            <w:r/>
            <w:r>
              <w:rPr>
                <w:rFonts w:ascii="Times New Roman" w:hAnsi="Times New Roman" w:eastAsia="宋体"/>
                <w:b w:val="0"/>
                <w:sz w:val="21"/>
              </w:rPr>
              <w:t>候选集合构造与召回</w:t>
            </w:r>
          </w:p>
        </w:tc>
      </w:tr>
      <w:tr>
        <w:tc>
          <w:tcPr>
            <w:tcW w:type="dxa" w:w="4589"/>
            <w:vAlign w:val="center"/>
          </w:tcPr>
          <w:p>
            <w:pPr>
              <w:spacing w:after="0"/>
            </w:pPr>
            <w:r/>
            <w:r>
              <w:rPr>
                <w:rFonts w:ascii="Times New Roman" w:hAnsi="Times New Roman" w:eastAsia="宋体"/>
                <w:b w:val="0"/>
                <w:sz w:val="21"/>
              </w:rPr>
              <w:t>stage_a_clean.py</w:t>
            </w:r>
          </w:p>
        </w:tc>
        <w:tc>
          <w:tcPr>
            <w:tcW w:type="dxa" w:w="4589"/>
            <w:vAlign w:val="center"/>
          </w:tcPr>
          <w:p>
            <w:pPr>
              <w:spacing w:after="0"/>
            </w:pPr>
            <w:r/>
            <w:r>
              <w:rPr>
                <w:rFonts w:ascii="Times New Roman" w:hAnsi="Times New Roman" w:eastAsia="宋体"/>
                <w:b w:val="0"/>
                <w:sz w:val="21"/>
              </w:rPr>
              <w:t>规则快路径判断</w:t>
            </w:r>
          </w:p>
        </w:tc>
      </w:tr>
      <w:tr>
        <w:tc>
          <w:tcPr>
            <w:tcW w:type="dxa" w:w="4589"/>
            <w:vAlign w:val="center"/>
          </w:tcPr>
          <w:p>
            <w:pPr>
              <w:spacing w:after="0"/>
            </w:pPr>
            <w:r/>
            <w:r>
              <w:rPr>
                <w:rFonts w:ascii="Times New Roman" w:hAnsi="Times New Roman" w:eastAsia="宋体"/>
                <w:b w:val="0"/>
                <w:sz w:val="21"/>
              </w:rPr>
              <w:t>stage_a_llm.py</w:t>
            </w:r>
          </w:p>
        </w:tc>
        <w:tc>
          <w:tcPr>
            <w:tcW w:type="dxa" w:w="4589"/>
            <w:vAlign w:val="center"/>
          </w:tcPr>
          <w:p>
            <w:pPr>
              <w:spacing w:after="0"/>
            </w:pPr>
            <w:r/>
            <w:r>
              <w:rPr>
                <w:rFonts w:ascii="Times New Roman" w:hAnsi="Times New Roman" w:eastAsia="宋体"/>
                <w:b w:val="0"/>
                <w:sz w:val="21"/>
              </w:rPr>
              <w:t>单智能体结构化语义判别</w:t>
            </w:r>
          </w:p>
        </w:tc>
      </w:tr>
      <w:tr>
        <w:tc>
          <w:tcPr>
            <w:tcW w:type="dxa" w:w="4589"/>
            <w:vAlign w:val="center"/>
          </w:tcPr>
          <w:p>
            <w:pPr>
              <w:spacing w:after="0"/>
            </w:pPr>
            <w:r/>
            <w:r>
              <w:rPr>
                <w:rFonts w:ascii="Times New Roman" w:hAnsi="Times New Roman" w:eastAsia="宋体"/>
                <w:b w:val="0"/>
                <w:sz w:val="21"/>
              </w:rPr>
              <w:t>stage_b_consensus.py、stage_b_multi_intent.py</w:t>
            </w:r>
          </w:p>
        </w:tc>
        <w:tc>
          <w:tcPr>
            <w:tcW w:type="dxa" w:w="4589"/>
            <w:vAlign w:val="center"/>
          </w:tcPr>
          <w:p>
            <w:pPr>
              <w:spacing w:after="0"/>
            </w:pPr>
            <w:r/>
            <w:r>
              <w:rPr>
                <w:rFonts w:ascii="Times New Roman" w:hAnsi="Times New Roman" w:eastAsia="宋体"/>
                <w:b w:val="0"/>
                <w:sz w:val="21"/>
              </w:rPr>
              <w:t>多智能体协作复核与共识控制</w:t>
            </w:r>
          </w:p>
        </w:tc>
      </w:tr>
      <w:tr>
        <w:tc>
          <w:tcPr>
            <w:tcW w:type="dxa" w:w="4589"/>
            <w:vAlign w:val="center"/>
          </w:tcPr>
          <w:p>
            <w:pPr>
              <w:spacing w:after="0"/>
            </w:pPr>
            <w:r/>
            <w:r>
              <w:rPr>
                <w:rFonts w:ascii="Times New Roman" w:hAnsi="Times New Roman" w:eastAsia="宋体"/>
                <w:b w:val="0"/>
                <w:sz w:val="21"/>
              </w:rPr>
              <w:t>related_v2.py</w:t>
            </w:r>
          </w:p>
        </w:tc>
        <w:tc>
          <w:tcPr>
            <w:tcW w:type="dxa" w:w="4589"/>
            <w:vAlign w:val="center"/>
          </w:tcPr>
          <w:p>
            <w:pPr>
              <w:spacing w:after="0"/>
            </w:pPr>
            <w:r/>
            <w:r>
              <w:rPr>
                <w:rFonts w:ascii="Times New Roman" w:hAnsi="Times New Roman" w:eastAsia="宋体"/>
                <w:b w:val="0"/>
                <w:sz w:val="21"/>
              </w:rPr>
              <w:t>相关能力识别</w:t>
            </w:r>
          </w:p>
        </w:tc>
      </w:tr>
      <w:tr>
        <w:tc>
          <w:tcPr>
            <w:tcW w:type="dxa" w:w="4589"/>
            <w:vAlign w:val="center"/>
          </w:tcPr>
          <w:p>
            <w:pPr>
              <w:spacing w:after="0"/>
            </w:pPr>
            <w:r/>
            <w:r>
              <w:rPr>
                <w:rFonts w:ascii="Times New Roman" w:hAnsi="Times New Roman" w:eastAsia="宋体"/>
                <w:b w:val="0"/>
                <w:sz w:val="21"/>
              </w:rPr>
              <w:t>stage_c_selector.py</w:t>
            </w:r>
          </w:p>
        </w:tc>
        <w:tc>
          <w:tcPr>
            <w:tcW w:type="dxa" w:w="4589"/>
            <w:vAlign w:val="center"/>
          </w:tcPr>
          <w:p>
            <w:pPr>
              <w:spacing w:after="0"/>
            </w:pPr>
            <w:r/>
            <w:r>
              <w:rPr>
                <w:rFonts w:ascii="Times New Roman" w:hAnsi="Times New Roman" w:eastAsia="宋体"/>
                <w:b w:val="0"/>
                <w:sz w:val="21"/>
              </w:rPr>
              <w:t>执行落点选择</w:t>
            </w:r>
          </w:p>
        </w:tc>
      </w:tr>
      <w:tr>
        <w:tc>
          <w:tcPr>
            <w:tcW w:type="dxa" w:w="4589"/>
            <w:vAlign w:val="center"/>
          </w:tcPr>
          <w:p>
            <w:pPr>
              <w:spacing w:after="0"/>
            </w:pPr>
            <w:r/>
            <w:r>
              <w:rPr>
                <w:rFonts w:ascii="Times New Roman" w:hAnsi="Times New Roman" w:eastAsia="宋体"/>
                <w:b w:val="0"/>
                <w:sz w:val="21"/>
              </w:rPr>
              <w:t>routing_chain.py、service_api.py</w:t>
            </w:r>
          </w:p>
        </w:tc>
        <w:tc>
          <w:tcPr>
            <w:tcW w:type="dxa" w:w="4589"/>
            <w:vAlign w:val="center"/>
          </w:tcPr>
          <w:p>
            <w:pPr>
              <w:spacing w:after="0"/>
            </w:pPr>
            <w:r/>
            <w:r>
              <w:rPr>
                <w:rFonts w:ascii="Times New Roman" w:hAnsi="Times New Roman" w:eastAsia="宋体"/>
                <w:b w:val="0"/>
                <w:sz w:val="21"/>
              </w:rPr>
              <w:t>路由链路与服务接口</w:t>
            </w:r>
          </w:p>
        </w:tc>
      </w:tr>
    </w:tbl>
    <w:p/>
    <w:p>
      <w:pPr>
        <w:spacing w:line="360" w:lineRule="auto" w:after="120"/>
        <w:ind w:firstLine="420"/>
      </w:pPr>
      <w:r>
        <w:rPr>
          <w:rFonts w:ascii="Times New Roman" w:hAnsi="Times New Roman" w:eastAsia="宋体"/>
          <w:sz w:val="21"/>
        </w:rPr>
        <w:t>配套脚本主要位于 scripts/，用于数据构建、样本校验、实验运行、协作复核、评估统计和图表生成。测试用例位于 tests/，覆盖候选构造、规则判断、单智能体输出解析、协作复核、相关能力识别和执行选择等模块。</w:t>
      </w:r>
    </w:p>
    <w:p>
      <w:pPr>
        <w:pStyle w:val="Heading2"/>
      </w:pPr>
      <w:r>
        <w:t>6.2 数据和实验资产</w:t>
      </w:r>
    </w:p>
    <w:p>
      <w:pPr>
        <w:spacing w:line="360" w:lineRule="auto" w:after="120"/>
        <w:ind w:firstLine="420"/>
      </w:pPr>
      <w:r>
        <w:rPr>
          <w:rFonts w:ascii="Times New Roman" w:hAnsi="Times New Roman" w:eastAsia="宋体"/>
          <w:sz w:val="21"/>
        </w:rPr>
        <w:t>项目数据资产主要位于 data/agentdns_routing/formal/，包括正式样本、盲测输入、标签文件、覆盖统计、family 台账、manifest 文件和补充评测集。多意图集合路由评测集已作为后续扩展资产形成，不混入本报告主实验 train/test 口径。相关校验脚本可以验证数据格式、样本覆盖、family 隔离、文本重复和标注字段一致性。</w:t>
      </w:r>
    </w:p>
    <w:p>
      <w:pPr>
        <w:spacing w:line="360" w:lineRule="auto" w:after="120"/>
        <w:ind w:firstLine="420"/>
      </w:pPr>
      <w:r>
        <w:rPr>
          <w:rFonts w:ascii="Times New Roman" w:hAnsi="Times New Roman" w:eastAsia="宋体"/>
          <w:sz w:val="21"/>
        </w:rPr>
        <w:t>实验输出主要位于 artifacts/ 和 output/figures/retrospective_train_test_20260331/。其中，图表材料包括统一测试集增益瀑布图、不同配置选择结果、协作消融图、配置敏感性图、执行负载代理图和累计样本池稳定性图。这些材料可作为结项答辩或技术报告附件。</w:t>
      </w:r>
    </w:p>
    <w:p>
      <w:pPr>
        <w:pStyle w:val="Heading2"/>
      </w:pPr>
      <w:r>
        <w:t>6.3 过程记录和可复盘能力</w:t>
      </w:r>
    </w:p>
    <w:p>
      <w:pPr>
        <w:spacing w:line="360" w:lineRule="auto" w:after="120"/>
        <w:ind w:firstLine="420"/>
      </w:pPr>
      <w:r>
        <w:rPr>
          <w:rFonts w:ascii="Times New Roman" w:hAnsi="Times New Roman" w:eastAsia="宋体"/>
          <w:sz w:val="21"/>
        </w:rPr>
        <w:t>项目原型系统在每个阶段保留结构化输出，包括候选快照、规则分数、模型结构化判断、协作角色提案、二轮复核信息、授权判断和最终结果。通过这些记录，系统可以支持样本级错误分析和案例复盘。</w:t>
      </w:r>
    </w:p>
    <w:p>
      <w:pPr>
        <w:spacing w:line="360" w:lineRule="auto" w:after="120"/>
        <w:ind w:firstLine="420"/>
      </w:pPr>
      <w:r>
        <w:rPr>
          <w:rFonts w:ascii="Times New Roman" w:hAnsi="Times New Roman" w:eastAsia="宋体"/>
          <w:sz w:val="21"/>
        </w:rPr>
        <w:t>这种可复盘能力是本项目区别于普通大模型调用方案的重要特征。项目不仅关注最终准确率，也关注过程证据是否充分、改判边界是否清楚、错误来源是否可定位。这一点与任务书中的“可信认知标识”和“过程可控可解释”要求直接对应。</w:t>
      </w:r>
    </w:p>
    <w:p>
      <w:pPr>
        <w:pStyle w:val="Heading1"/>
      </w:pPr>
      <w:r>
        <w:t>七、成果产出与考核指标完成情况</w:t>
      </w:r>
    </w:p>
    <w:p>
      <w:pPr>
        <w:pStyle w:val="Heading2"/>
      </w:pPr>
      <w:r>
        <w:t>7.1 考核指标对照</w:t>
      </w:r>
    </w:p>
    <w:tbl>
      <w:tblPr>
        <w:tblStyle w:val="TableGrid"/>
        <w:tblW w:type="auto" w:w="0"/>
        <w:jc w:val="center"/>
        <w:tblLook w:firstColumn="1" w:firstRow="1" w:lastColumn="0" w:lastRow="0" w:noHBand="0" w:noVBand="1" w:val="04A0"/>
      </w:tblPr>
      <w:tblGrid>
        <w:gridCol w:w="3059"/>
        <w:gridCol w:w="3059"/>
        <w:gridCol w:w="3059"/>
      </w:tblGrid>
      <w:tr>
        <w:tc>
          <w:tcPr>
            <w:tcW w:type="dxa" w:w="3059"/>
            <w:vAlign w:val="center"/>
          </w:tcPr>
          <w:p>
            <w:pPr>
              <w:spacing w:after="0"/>
            </w:pPr>
            <w:r/>
            <w:r>
              <w:rPr>
                <w:rFonts w:ascii="Times New Roman" w:hAnsi="Times New Roman" w:eastAsia="宋体"/>
                <w:b/>
                <w:sz w:val="21"/>
              </w:rPr>
              <w:t>任务书考核指标</w:t>
            </w:r>
          </w:p>
        </w:tc>
        <w:tc>
          <w:tcPr>
            <w:tcW w:type="dxa" w:w="3059"/>
            <w:vAlign w:val="center"/>
          </w:tcPr>
          <w:p>
            <w:pPr>
              <w:spacing w:after="0"/>
            </w:pPr>
            <w:r/>
            <w:r>
              <w:rPr>
                <w:rFonts w:ascii="Times New Roman" w:hAnsi="Times New Roman" w:eastAsia="宋体"/>
                <w:b/>
                <w:sz w:val="21"/>
              </w:rPr>
              <w:t>完成情况</w:t>
            </w:r>
          </w:p>
        </w:tc>
        <w:tc>
          <w:tcPr>
            <w:tcW w:type="dxa" w:w="3059"/>
            <w:vAlign w:val="center"/>
          </w:tcPr>
          <w:p>
            <w:pPr>
              <w:spacing w:after="0"/>
            </w:pPr>
            <w:r/>
            <w:r>
              <w:rPr>
                <w:rFonts w:ascii="Times New Roman" w:hAnsi="Times New Roman" w:eastAsia="宋体"/>
                <w:b/>
                <w:sz w:val="21"/>
              </w:rPr>
              <w:t>结项说明</w:t>
            </w:r>
          </w:p>
        </w:tc>
      </w:tr>
      <w:tr>
        <w:tc>
          <w:tcPr>
            <w:tcW w:type="dxa" w:w="3059"/>
            <w:vAlign w:val="center"/>
          </w:tcPr>
          <w:p>
            <w:pPr>
              <w:spacing w:after="0"/>
            </w:pPr>
            <w:r/>
            <w:r>
              <w:rPr>
                <w:rFonts w:ascii="Times New Roman" w:hAnsi="Times New Roman" w:eastAsia="宋体"/>
                <w:b w:val="0"/>
                <w:sz w:val="21"/>
              </w:rPr>
              <w:t>构建1套多智能体协作原型框架，具备生成-选择-共识模块</w:t>
            </w:r>
          </w:p>
        </w:tc>
        <w:tc>
          <w:tcPr>
            <w:tcW w:type="dxa" w:w="3059"/>
            <w:vAlign w:val="center"/>
          </w:tcPr>
          <w:p>
            <w:pPr>
              <w:spacing w:after="0"/>
            </w:pPr>
            <w:r/>
            <w:r>
              <w:rPr>
                <w:rFonts w:ascii="Times New Roman" w:hAnsi="Times New Roman" w:eastAsia="宋体"/>
                <w:b w:val="0"/>
                <w:sz w:val="21"/>
              </w:rPr>
              <w:t>已完成</w:t>
            </w:r>
          </w:p>
        </w:tc>
        <w:tc>
          <w:tcPr>
            <w:tcW w:type="dxa" w:w="3059"/>
            <w:vAlign w:val="center"/>
          </w:tcPr>
          <w:p>
            <w:pPr>
              <w:spacing w:after="0"/>
            </w:pPr>
            <w:r/>
            <w:r>
              <w:rPr>
                <w:rFonts w:ascii="Times New Roman" w:hAnsi="Times New Roman" w:eastAsia="宋体"/>
                <w:b w:val="0"/>
                <w:sz w:val="21"/>
              </w:rPr>
              <w:t>已形成能力命名、候选组织、结构化判别、职责化协作复核、授权改判、过程记录和执行接口衔接的原型链路</w:t>
            </w:r>
          </w:p>
        </w:tc>
      </w:tr>
      <w:tr>
        <w:tc>
          <w:tcPr>
            <w:tcW w:type="dxa" w:w="3059"/>
            <w:vAlign w:val="center"/>
          </w:tcPr>
          <w:p>
            <w:pPr>
              <w:spacing w:after="0"/>
            </w:pPr>
            <w:r/>
            <w:r>
              <w:rPr>
                <w:rFonts w:ascii="Times New Roman" w:hAnsi="Times New Roman" w:eastAsia="宋体"/>
                <w:b w:val="0"/>
                <w:sz w:val="21"/>
              </w:rPr>
              <w:t>提交至少1项发明专利</w:t>
            </w:r>
          </w:p>
        </w:tc>
        <w:tc>
          <w:tcPr>
            <w:tcW w:type="dxa" w:w="3059"/>
            <w:vAlign w:val="center"/>
          </w:tcPr>
          <w:p>
            <w:pPr>
              <w:spacing w:after="0"/>
            </w:pPr>
            <w:r/>
            <w:r>
              <w:rPr>
                <w:rFonts w:ascii="Times New Roman" w:hAnsi="Times New Roman" w:eastAsia="宋体"/>
                <w:b w:val="0"/>
                <w:sz w:val="21"/>
              </w:rPr>
              <w:t>已形成申请相关材料，正式提交/受理证明待补充</w:t>
            </w:r>
          </w:p>
        </w:tc>
        <w:tc>
          <w:tcPr>
            <w:tcW w:type="dxa" w:w="3059"/>
            <w:vAlign w:val="center"/>
          </w:tcPr>
          <w:p>
            <w:pPr>
              <w:spacing w:after="0"/>
            </w:pPr>
            <w:r/>
            <w:r>
              <w:rPr>
                <w:rFonts w:ascii="Times New Roman" w:hAnsi="Times New Roman" w:eastAsia="宋体"/>
                <w:b w:val="0"/>
                <w:sz w:val="21"/>
              </w:rPr>
              <w:t>已形成专利技术交底书、权利要求书、说明书摘要、附图和申请材料汇编；如已有提交回执或受理号，需在最终稿补充</w:t>
            </w:r>
          </w:p>
        </w:tc>
      </w:tr>
      <w:tr>
        <w:tc>
          <w:tcPr>
            <w:tcW w:type="dxa" w:w="3059"/>
            <w:vAlign w:val="center"/>
          </w:tcPr>
          <w:p>
            <w:pPr>
              <w:spacing w:after="0"/>
            </w:pPr>
            <w:r/>
            <w:r>
              <w:rPr>
                <w:rFonts w:ascii="Times New Roman" w:hAnsi="Times New Roman" w:eastAsia="宋体"/>
                <w:b w:val="0"/>
                <w:sz w:val="21"/>
              </w:rPr>
              <w:t>提交技术研究报告或论文至少1份</w:t>
            </w:r>
          </w:p>
        </w:tc>
        <w:tc>
          <w:tcPr>
            <w:tcW w:type="dxa" w:w="3059"/>
            <w:vAlign w:val="center"/>
          </w:tcPr>
          <w:p>
            <w:pPr>
              <w:spacing w:after="0"/>
            </w:pPr>
            <w:r/>
            <w:r>
              <w:rPr>
                <w:rFonts w:ascii="Times New Roman" w:hAnsi="Times New Roman" w:eastAsia="宋体"/>
                <w:b w:val="0"/>
                <w:sz w:val="21"/>
              </w:rPr>
              <w:t>已完成</w:t>
            </w:r>
          </w:p>
        </w:tc>
        <w:tc>
          <w:tcPr>
            <w:tcW w:type="dxa" w:w="3059"/>
            <w:vAlign w:val="center"/>
          </w:tcPr>
          <w:p>
            <w:pPr>
              <w:spacing w:after="0"/>
            </w:pPr>
            <w:r/>
            <w:r>
              <w:rPr>
                <w:rFonts w:ascii="Times New Roman" w:hAnsi="Times New Roman" w:eastAsia="宋体"/>
                <w:b w:val="0"/>
                <w:sz w:val="21"/>
              </w:rPr>
              <w:t>已形成技术研究报告、结项技术报告初稿和论文投稿稿，覆盖方法设计、实验协议、评测结果和机制分析</w:t>
            </w:r>
          </w:p>
        </w:tc>
      </w:tr>
      <w:tr>
        <w:tc>
          <w:tcPr>
            <w:tcW w:type="dxa" w:w="3059"/>
            <w:vAlign w:val="center"/>
          </w:tcPr>
          <w:p>
            <w:pPr>
              <w:spacing w:after="0"/>
            </w:pPr>
            <w:r/>
            <w:r>
              <w:rPr>
                <w:rFonts w:ascii="Times New Roman" w:hAnsi="Times New Roman" w:eastAsia="宋体"/>
                <w:b w:val="0"/>
                <w:sz w:val="21"/>
              </w:rPr>
              <w:t>完成至少1次对内成果展示或汇报演示</w:t>
            </w:r>
          </w:p>
        </w:tc>
        <w:tc>
          <w:tcPr>
            <w:tcW w:type="dxa" w:w="3059"/>
            <w:vAlign w:val="center"/>
          </w:tcPr>
          <w:p>
            <w:pPr>
              <w:spacing w:after="0"/>
            </w:pPr>
            <w:r/>
            <w:r>
              <w:rPr>
                <w:rFonts w:ascii="Times New Roman" w:hAnsi="Times New Roman" w:eastAsia="宋体"/>
                <w:b w:val="0"/>
                <w:sz w:val="21"/>
              </w:rPr>
              <w:t>已形成支撑材料，正式展示证明待补充</w:t>
            </w:r>
          </w:p>
        </w:tc>
        <w:tc>
          <w:tcPr>
            <w:tcW w:type="dxa" w:w="3059"/>
            <w:vAlign w:val="center"/>
          </w:tcPr>
          <w:p>
            <w:pPr>
              <w:spacing w:after="0"/>
            </w:pPr>
            <w:r/>
            <w:r>
              <w:rPr>
                <w:rFonts w:ascii="Times New Roman" w:hAnsi="Times New Roman" w:eastAsia="宋体"/>
                <w:b w:val="0"/>
                <w:sz w:val="21"/>
              </w:rPr>
              <w:t>已形成原型系统、图表、宣传稿、成果汇编和汇报支撑材料；如已有会议纪要、截图或录屏，建议随验收材料补充</w:t>
            </w:r>
          </w:p>
        </w:tc>
      </w:tr>
    </w:tbl>
    <w:p/>
    <w:p>
      <w:pPr>
        <w:pStyle w:val="Heading2"/>
      </w:pPr>
      <w:r>
        <w:t>7.2 已形成文档成果</w:t>
      </w:r>
    </w:p>
    <w:p>
      <w:pPr>
        <w:spacing w:line="360" w:lineRule="auto" w:after="120"/>
        <w:ind w:firstLine="420"/>
      </w:pPr>
      <w:r>
        <w:rPr>
          <w:rFonts w:ascii="Times New Roman" w:hAnsi="Times New Roman" w:eastAsia="宋体"/>
          <w:sz w:val="21"/>
        </w:rPr>
        <w:t>项目已形成以下类型文档和材料：</w:t>
      </w:r>
    </w:p>
    <w:p>
      <w:pPr>
        <w:pStyle w:val="ListNumber"/>
      </w:pPr>
      <w:r>
        <w:rPr>
          <w:rFonts w:ascii="Times New Roman" w:hAnsi="Times New Roman" w:eastAsia="宋体"/>
          <w:sz w:val="21"/>
        </w:rPr>
        <w:t>技术研究报告：对系统框架、方法路线、实验结果和局限性进行总结。</w:t>
      </w:r>
    </w:p>
    <w:p>
      <w:pPr>
        <w:pStyle w:val="ListNumber"/>
      </w:pPr>
      <w:r>
        <w:rPr>
          <w:rFonts w:ascii="Times New Roman" w:hAnsi="Times New Roman" w:eastAsia="宋体"/>
          <w:sz w:val="21"/>
        </w:rPr>
        <w:t>论文投稿稿：围绕受限能力命名空间语义路由问题形成学术化表达。</w:t>
      </w:r>
    </w:p>
    <w:p>
      <w:pPr>
        <w:pStyle w:val="ListNumber"/>
      </w:pPr>
      <w:r>
        <w:rPr>
          <w:rFonts w:ascii="Times New Roman" w:hAnsi="Times New Roman" w:eastAsia="宋体"/>
          <w:sz w:val="21"/>
        </w:rPr>
        <w:t>项目成果汇编：面向成果归档和审阅，系统梳理背景、思路、创新、实验和应用价值。</w:t>
      </w:r>
    </w:p>
    <w:p>
      <w:pPr>
        <w:pStyle w:val="ListNumber"/>
      </w:pPr>
      <w:r>
        <w:rPr>
          <w:rFonts w:ascii="Times New Roman" w:hAnsi="Times New Roman" w:eastAsia="宋体"/>
          <w:sz w:val="21"/>
        </w:rPr>
        <w:t>自立科研项目验收报告：对照项目概况、完成情况、指标达成、经费和证明材料进行填写。</w:t>
      </w:r>
    </w:p>
    <w:p>
      <w:pPr>
        <w:pStyle w:val="ListNumber"/>
      </w:pPr>
      <w:r>
        <w:rPr>
          <w:rFonts w:ascii="Times New Roman" w:hAnsi="Times New Roman" w:eastAsia="宋体"/>
          <w:sz w:val="21"/>
        </w:rPr>
        <w:t>专利申请相关材料：包括技术交底书、权利要求书、说明书摘要、说明书附图和申请材料汇编。</w:t>
      </w:r>
    </w:p>
    <w:p>
      <w:pPr>
        <w:pStyle w:val="ListNumber"/>
      </w:pPr>
      <w:r>
        <w:rPr>
          <w:rFonts w:ascii="Times New Roman" w:hAnsi="Times New Roman" w:eastAsia="宋体"/>
          <w:sz w:val="21"/>
        </w:rPr>
        <w:t>成果宣传材料：包括成果宣传稿、安全公开版宣传稿和相关图示材料。</w:t>
      </w:r>
    </w:p>
    <w:p>
      <w:pPr>
        <w:pStyle w:val="ListNumber"/>
      </w:pPr>
      <w:r>
        <w:rPr>
          <w:rFonts w:ascii="Times New Roman" w:hAnsi="Times New Roman" w:eastAsia="宋体"/>
          <w:sz w:val="21"/>
        </w:rPr>
        <w:t>实验图表材料：包括主结果、配置比较、协作消融、调用复杂度和累计稳定性等图表。</w:t>
      </w:r>
    </w:p>
    <w:p>
      <w:pPr>
        <w:pStyle w:val="Heading2"/>
      </w:pPr>
      <w:r>
        <w:t>7.3 成果边界说明</w:t>
      </w:r>
    </w:p>
    <w:p>
      <w:pPr>
        <w:spacing w:line="360" w:lineRule="auto" w:after="120"/>
        <w:ind w:firstLine="420"/>
      </w:pPr>
      <w:r>
        <w:rPr>
          <w:rFonts w:ascii="Times New Roman" w:hAnsi="Times New Roman" w:eastAsia="宋体"/>
          <w:sz w:val="21"/>
        </w:rPr>
        <w:t>本报告对成果状态采用稳健表述。已经由本地材料直接支撑的内容，按“已形成”“已完成”“已实现原型”“已开展实验验证”表述；当前材料中未发现正式证明的内容，不直接写成“已提交”“已受理”“已授权”“已发表”“已录用”“已上线”“已被采用”。</w:t>
      </w:r>
    </w:p>
    <w:p>
      <w:pPr>
        <w:spacing w:line="360" w:lineRule="auto" w:after="120"/>
        <w:ind w:firstLine="420"/>
      </w:pPr>
      <w:r>
        <w:rPr>
          <w:rFonts w:ascii="Times New Roman" w:hAnsi="Times New Roman" w:eastAsia="宋体"/>
          <w:sz w:val="21"/>
        </w:rPr>
        <w:t>其中，发明专利如已有正式提交回执、受理通知或申请号，应在最终报送版本中补充；论文材料当前按“已形成投稿稿/论文稿”表述，如已有正式投稿、录用或发表证明，应另行补充；对内成果展示如已有会议纪要、演示视频、汇报PPT或现场照片，也建议作为附件补充。原型系统当前按研究原型、离线评测链路、服务接口和演示支撑材料表述，不写成生产上线系统或外部正式采用成果。项目编号、签订日期、经费实际支出明细、预算执行率和财务票据等管理信息，应以项目管理部门和财务部门审核结果为准，本技术报告不直接填列无依据的数据。</w:t>
      </w:r>
    </w:p>
    <w:p>
      <w:pPr>
        <w:pStyle w:val="Heading1"/>
      </w:pPr>
      <w:r>
        <w:t>八、创新点与技术价值</w:t>
      </w:r>
    </w:p>
    <w:p>
      <w:pPr>
        <w:pStyle w:val="Heading2"/>
      </w:pPr>
      <w:r>
        <w:t>8.1 将多智能体协作落到互联网基础资源任务链路</w:t>
      </w:r>
    </w:p>
    <w:p>
      <w:pPr>
        <w:spacing w:line="360" w:lineRule="auto" w:after="120"/>
        <w:ind w:firstLine="420"/>
      </w:pPr>
      <w:r>
        <w:rPr>
          <w:rFonts w:ascii="Times New Roman" w:hAnsi="Times New Roman" w:eastAsia="宋体"/>
          <w:sz w:val="21"/>
        </w:rPr>
        <w:t>项目没有停留在泛化的多智能体概念讨论，而是将多智能体协作放入互联网基础资源相关的能力命名、服务发现、语义寻址和可信调用链路中。通过典型场景验证，项目说明大模型多智能体协作可以支撑受控候选决策、复杂样本复核和过程留痕。</w:t>
      </w:r>
    </w:p>
    <w:p>
      <w:pPr>
        <w:pStyle w:val="Heading2"/>
      </w:pPr>
      <w:r>
        <w:t>8.2 提出结构化语义判别与职责化复核结合的技术路线</w:t>
      </w:r>
    </w:p>
    <w:p>
      <w:pPr>
        <w:spacing w:line="360" w:lineRule="auto" w:after="120"/>
        <w:ind w:firstLine="420"/>
      </w:pPr>
      <w:r>
        <w:rPr>
          <w:rFonts w:ascii="Times New Roman" w:hAnsi="Times New Roman" w:eastAsia="宋体"/>
          <w:sz w:val="21"/>
        </w:rPr>
        <w:t>项目将单智能体结构化判别作为主判断基础，再将多智能体协作限定为复杂样本的条件化复核机制。该路线避免了两个极端：一是完全依赖规则导致复杂语义处理能力不足；二是完全依赖开放式大模型导致边界不清、过程不可复核。实验结果显示，这种分层路线能够同时提升准确率和可解释性。</w:t>
      </w:r>
    </w:p>
    <w:p>
      <w:pPr>
        <w:pStyle w:val="Heading2"/>
      </w:pPr>
      <w:r>
        <w:t>8.3 以显式授权机制控制协作改判边界</w:t>
      </w:r>
    </w:p>
    <w:p>
      <w:pPr>
        <w:spacing w:line="360" w:lineRule="auto" w:after="120"/>
        <w:ind w:firstLine="420"/>
      </w:pPr>
      <w:r>
        <w:rPr>
          <w:rFonts w:ascii="Times New Roman" w:hAnsi="Times New Roman" w:eastAsia="宋体"/>
          <w:sz w:val="21"/>
        </w:rPr>
        <w:t>项目提出将协作触发和最终改判解耦。多智能体复核只提供证据和候选挑战，最终是否改判由授权规则控制。这一机制有助于降低误改风险，也使协作收益可以通过“改判/纠错/误改”指标直接评估。</w:t>
      </w:r>
    </w:p>
    <w:p>
      <w:pPr>
        <w:pStyle w:val="Heading2"/>
      </w:pPr>
      <w:r>
        <w:t>8.4 将可信认知标识落实为可回放过程记录</w:t>
      </w:r>
    </w:p>
    <w:p>
      <w:pPr>
        <w:spacing w:line="360" w:lineRule="auto" w:after="120"/>
        <w:ind w:firstLine="420"/>
      </w:pPr>
      <w:r>
        <w:rPr>
          <w:rFonts w:ascii="Times New Roman" w:hAnsi="Times New Roman" w:eastAsia="宋体"/>
          <w:sz w:val="21"/>
        </w:rPr>
        <w:t>项目将可信认知标识具体化为候选快照、角色身份、模型版本、结构化判断、协作提案、授权结果和执行接口记录。该做法使系统具备样本级复盘能力，也为后续引入更强的审计、签名、哈希链或标准化接口提供基础。</w:t>
      </w:r>
    </w:p>
    <w:p>
      <w:pPr>
        <w:pStyle w:val="Heading2"/>
      </w:pPr>
      <w:r>
        <w:t>8.5 形成可复用的数据、实验和成果组织方式</w:t>
      </w:r>
    </w:p>
    <w:p>
      <w:pPr>
        <w:spacing w:line="360" w:lineRule="auto" w:after="120"/>
        <w:ind w:firstLine="420"/>
      </w:pPr>
      <w:r>
        <w:rPr>
          <w:rFonts w:ascii="Times New Roman" w:hAnsi="Times New Roman" w:eastAsia="宋体"/>
          <w:sz w:val="21"/>
        </w:rPr>
        <w:t>项目形成统一冻结评测资产、标注字段、评测指标、消融协议和图表输出。该组织方式不仅支撑本次结项，也可为后续智能体互联网、AgentDNS、能力发现和可信服务调用等工作提供方法基础。</w:t>
      </w:r>
    </w:p>
    <w:p>
      <w:pPr>
        <w:pStyle w:val="Heading1"/>
      </w:pPr>
      <w:r>
        <w:t>九、应用价值与推广前景</w:t>
      </w:r>
    </w:p>
    <w:p>
      <w:pPr>
        <w:pStyle w:val="Heading2"/>
      </w:pPr>
      <w:r>
        <w:t>9.1 支撑智能体互联网中的能力发现与调用入口</w:t>
      </w:r>
    </w:p>
    <w:p>
      <w:pPr>
        <w:spacing w:line="360" w:lineRule="auto" w:after="120"/>
        <w:ind w:firstLine="420"/>
      </w:pPr>
      <w:r>
        <w:rPr>
          <w:rFonts w:ascii="Times New Roman" w:hAnsi="Times New Roman" w:eastAsia="宋体"/>
          <w:sz w:val="21"/>
        </w:rPr>
        <w:t>随着智能体服务数量增加，如何发现能力、选择能力、调用能力将成为智能体互联网基础设施的重要问题。项目形成的能力命名、候选组织、结构化判断和执行衔接机制，可为智能体服务调用入口提供参考。</w:t>
      </w:r>
    </w:p>
    <w:p>
      <w:pPr>
        <w:pStyle w:val="Heading2"/>
      </w:pPr>
      <w:r>
        <w:t>9.2 支撑复杂语义任务中的可信决策</w:t>
      </w:r>
    </w:p>
    <w:p>
      <w:pPr>
        <w:spacing w:line="360" w:lineRule="auto" w:after="120"/>
        <w:ind w:firstLine="420"/>
      </w:pPr>
      <w:r>
        <w:rPr>
          <w:rFonts w:ascii="Times New Roman" w:hAnsi="Times New Roman" w:eastAsia="宋体"/>
          <w:sz w:val="21"/>
        </w:rPr>
        <w:t>互联网基础资源相关任务往往具有治理边界、风险约束和责任要求。项目通过职责化协作复核和显式授权机制，使复杂样本的改判过程有据可查、有边界可控，有助于支撑审核辅助、服务发现、能力编排和智能合规等场景。</w:t>
      </w:r>
    </w:p>
    <w:p>
      <w:pPr>
        <w:pStyle w:val="Heading2"/>
      </w:pPr>
      <w:r>
        <w:t>9.3 支撑后续标准化表达和平台化建设</w:t>
      </w:r>
    </w:p>
    <w:p>
      <w:pPr>
        <w:spacing w:line="360" w:lineRule="auto" w:after="120"/>
        <w:ind w:firstLine="420"/>
      </w:pPr>
      <w:r>
        <w:rPr>
          <w:rFonts w:ascii="Times New Roman" w:hAnsi="Times New Roman" w:eastAsia="宋体"/>
          <w:sz w:val="21"/>
        </w:rPr>
        <w:t>能力命名、角色标识、过程记录、评测协议和审计字段都具有进一步标准化潜力。后续可围绕智能体能力描述、发现接口、可信轨迹格式、协作复核协议和运行日志规范开展延伸研究。</w:t>
      </w:r>
    </w:p>
    <w:p>
      <w:pPr>
        <w:pStyle w:val="Heading2"/>
      </w:pPr>
      <w:r>
        <w:t>9.4 支撑成果转化和持续研究</w:t>
      </w:r>
    </w:p>
    <w:p>
      <w:pPr>
        <w:spacing w:line="360" w:lineRule="auto" w:after="120"/>
        <w:ind w:firstLine="420"/>
      </w:pPr>
      <w:r>
        <w:rPr>
          <w:rFonts w:ascii="Times New Roman" w:hAnsi="Times New Roman" w:eastAsia="宋体"/>
          <w:sz w:val="21"/>
        </w:rPr>
        <w:t>项目已经形成原型系统和较完整的成果材料。后续可在更大规模样本、更广业务场景、不同模型后端和真实服务调用环境中继续验证，推动从研究原型向工具化平台、演示系统或业务试点延伸。</w:t>
      </w:r>
    </w:p>
    <w:p>
      <w:pPr>
        <w:pStyle w:val="Heading1"/>
      </w:pPr>
      <w:r>
        <w:t>十、存在问题与后续工作</w:t>
      </w:r>
    </w:p>
    <w:p>
      <w:pPr>
        <w:pStyle w:val="Heading2"/>
      </w:pPr>
      <w:r>
        <w:t>10.1 存在问题</w:t>
      </w:r>
    </w:p>
    <w:p>
      <w:pPr>
        <w:spacing w:line="360" w:lineRule="auto" w:after="120"/>
        <w:ind w:firstLine="420"/>
      </w:pPr>
      <w:r>
        <w:rPr>
          <w:rFonts w:ascii="Times New Roman" w:hAnsi="Times New Roman" w:eastAsia="宋体"/>
          <w:sz w:val="21"/>
        </w:rPr>
        <w:t>第一，当前样本规模已经能够支撑方法比较和机制分析，但面向更大范围部署仍需更多来源、更广覆盖、更独立的验证样本。</w:t>
      </w:r>
    </w:p>
    <w:p>
      <w:pPr>
        <w:spacing w:line="360" w:lineRule="auto" w:after="120"/>
        <w:ind w:firstLine="420"/>
      </w:pPr>
      <w:r>
        <w:rPr>
          <w:rFonts w:ascii="Times New Roman" w:hAnsi="Times New Roman" w:eastAsia="宋体"/>
          <w:sz w:val="21"/>
        </w:rPr>
        <w:t>第二，当前实验已经使用调用复杂度代理刻画成本，但真实运行中的 token、时延、接口稳定性、失败恢复和资源消耗日志仍需进一步统一记录。</w:t>
      </w:r>
    </w:p>
    <w:p>
      <w:pPr>
        <w:spacing w:line="360" w:lineRule="auto" w:after="120"/>
        <w:ind w:firstLine="420"/>
      </w:pPr>
      <w:r>
        <w:rPr>
          <w:rFonts w:ascii="Times New Roman" w:hAnsi="Times New Roman" w:eastAsia="宋体"/>
          <w:sz w:val="21"/>
        </w:rPr>
        <w:t>第三，执行落点解析已形成原型模块和接口约束，但与完整运行环境、业务系统和端到端服务调用链路的联调仍需继续推进。</w:t>
      </w:r>
    </w:p>
    <w:p>
      <w:pPr>
        <w:spacing w:line="360" w:lineRule="auto" w:after="120"/>
        <w:ind w:firstLine="420"/>
      </w:pPr>
      <w:r>
        <w:rPr>
          <w:rFonts w:ascii="Times New Roman" w:hAnsi="Times New Roman" w:eastAsia="宋体"/>
          <w:sz w:val="21"/>
        </w:rPr>
        <w:t>第四，当前可信过程记录主要是工程可审计、可复盘层面的可信，后续如面向更强安全场景，还需要补充签名、哈希链、访问控制和篡改检测等机制。</w:t>
      </w:r>
    </w:p>
    <w:p>
      <w:pPr>
        <w:pStyle w:val="Heading2"/>
      </w:pPr>
      <w:r>
        <w:t>10.2 后续工作</w:t>
      </w:r>
    </w:p>
    <w:p>
      <w:pPr>
        <w:spacing w:line="360" w:lineRule="auto" w:after="120"/>
        <w:ind w:firstLine="420"/>
      </w:pPr>
      <w:r>
        <w:rPr>
          <w:rFonts w:ascii="Times New Roman" w:hAnsi="Times New Roman" w:eastAsia="宋体"/>
          <w:sz w:val="21"/>
        </w:rPr>
        <w:t>后续建议围绕四个方向展开：</w:t>
      </w:r>
    </w:p>
    <w:p>
      <w:pPr>
        <w:pStyle w:val="ListNumber"/>
      </w:pPr>
      <w:r>
        <w:rPr>
          <w:rFonts w:ascii="Times New Roman" w:hAnsi="Times New Roman" w:eastAsia="宋体"/>
          <w:sz w:val="21"/>
        </w:rPr>
        <w:t>扩展独立验证样本和能力命名空间，检验方法在更多业务语义和动态能力目录中的稳定性。</w:t>
      </w:r>
    </w:p>
    <w:p>
      <w:pPr>
        <w:pStyle w:val="ListNumber"/>
      </w:pPr>
      <w:r>
        <w:rPr>
          <w:rFonts w:ascii="Times New Roman" w:hAnsi="Times New Roman" w:eastAsia="宋体"/>
          <w:sz w:val="21"/>
        </w:rPr>
        <w:t>完善质量、成本、时延和运行稳定性日志，形成面向部署场景的综合评估体系。</w:t>
      </w:r>
    </w:p>
    <w:p>
      <w:pPr>
        <w:pStyle w:val="ListNumber"/>
      </w:pPr>
      <w:r>
        <w:rPr>
          <w:rFonts w:ascii="Times New Roman" w:hAnsi="Times New Roman" w:eastAsia="宋体"/>
          <w:sz w:val="21"/>
        </w:rPr>
        <w:t>推进执行落点解析与真实服务调用环境联调，补充端到端任务成功率、失败恢复和用户确认机制。</w:t>
      </w:r>
    </w:p>
    <w:p>
      <w:pPr>
        <w:pStyle w:val="ListNumber"/>
      </w:pPr>
      <w:r>
        <w:rPr>
          <w:rFonts w:ascii="Times New Roman" w:hAnsi="Times New Roman" w:eastAsia="宋体"/>
          <w:sz w:val="21"/>
        </w:rPr>
        <w:t>深化可信认知标识机制，将当前结构化过程记录扩展为更规范的审计链、证明链和标准化接口。</w:t>
      </w:r>
    </w:p>
    <w:p>
      <w:pPr>
        <w:pStyle w:val="Heading1"/>
      </w:pPr>
      <w:r>
        <w:t>十一、结论</w:t>
      </w:r>
    </w:p>
    <w:p>
      <w:pPr>
        <w:spacing w:line="360" w:lineRule="auto" w:after="120"/>
        <w:ind w:firstLine="420"/>
      </w:pPr>
      <w:r>
        <w:rPr>
          <w:rFonts w:ascii="Times New Roman" w:hAnsi="Times New Roman" w:eastAsia="宋体"/>
          <w:sz w:val="21"/>
        </w:rPr>
        <w:t>本项目围绕“面向互联网基础资源的大模型多智能体协作与可信认知标识技术研究”任务书要求，构建了面向智能体服务组织与调用入口的多智能体协作研究框架。项目以能力命名、结构化语义判断、职责化协作复核、显式授权改判和可信过程记录为核心，完成了从问题定义、原型实现、数据构建、实验验证到成果凝练的完整链路。</w:t>
      </w:r>
    </w:p>
    <w:p>
      <w:pPr>
        <w:spacing w:line="360" w:lineRule="auto" w:after="120"/>
        <w:ind w:firstLine="420"/>
      </w:pPr>
      <w:r>
        <w:rPr>
          <w:rFonts w:ascii="Times New Roman" w:hAnsi="Times New Roman" w:eastAsia="宋体"/>
          <w:sz w:val="21"/>
        </w:rPr>
        <w:t>在典型互联网基础资源验证场景中，项目整理形成563条样本的统一评测资产，并通过冻结训练/测试协议验证了方法效果。实验结果显示，结构化语义判别显著提升主能力判断和相关能力识别质量；职责化多智能体协作复核在复杂样本上形成低误改净修正；过程记录机制支撑样本级回放、解释和审计。上述结果说明，项目不只是完成了单点算法验证，而是形成了与任务书目标相匹配的“多智能体协作 + 可信过程记录 + 互联网基础资源场景验证”的技术闭环。</w:t>
      </w:r>
    </w:p>
    <w:p>
      <w:pPr>
        <w:spacing w:line="360" w:lineRule="auto" w:after="120"/>
        <w:ind w:firstLine="420"/>
      </w:pPr>
      <w:r>
        <w:rPr>
          <w:rFonts w:ascii="Times New Roman" w:hAnsi="Times New Roman" w:eastAsia="宋体"/>
          <w:sz w:val="21"/>
        </w:rPr>
        <w:t>项目已形成原型系统、实验数据、研究报告/论文、专利申请相关材料、成果汇编、宣传稿和图表材料等成果，整体满足结项技术报告所需的主要支撑条件。后续可在更大规模独立验证、端到端联调、运行成本记录和可信轨迹标准化等方向继续深化，为智能体互联网、能力发现、可信调用和互联网基础资源智能化演进提供技术基础。</w:t>
      </w:r>
    </w:p>
    <w:p>
      <w:pPr>
        <w:pStyle w:val="Heading1"/>
      </w:pPr>
      <w:r>
        <w:t>参考文献与参考材料</w:t>
      </w:r>
    </w:p>
    <w:p>
      <w:pPr>
        <w:pStyle w:val="Heading2"/>
      </w:pPr>
      <w:r>
        <w:t>外部参考文献</w:t>
      </w:r>
    </w:p>
    <w:p>
      <w:pPr>
        <w:pStyle w:val="ListNumber"/>
      </w:pPr>
      <w:r>
        <w:rPr>
          <w:rFonts w:ascii="Times New Roman" w:hAnsi="Times New Roman" w:eastAsia="宋体"/>
          <w:sz w:val="21"/>
        </w:rPr>
        <w:t>Chen W, You Z, Li R, et al. Internet of Agents: Weaving a Web of Heterogeneous Agents for Collaborative Intelligence. ICLR, 2025.</w:t>
      </w:r>
    </w:p>
    <w:p>
      <w:pPr>
        <w:pStyle w:val="ListNumber"/>
      </w:pPr>
      <w:r>
        <w:rPr>
          <w:rFonts w:ascii="Times New Roman" w:hAnsi="Times New Roman" w:eastAsia="宋体"/>
          <w:sz w:val="21"/>
        </w:rPr>
        <w:t>Guo S, Wang Y, Su Z, et al. Agent Discovery in Internet of Agents: Challenges and Solutions. IEEE Network, 2026.</w:t>
      </w:r>
    </w:p>
    <w:p>
      <w:pPr>
        <w:pStyle w:val="ListNumber"/>
      </w:pPr>
      <w:r>
        <w:rPr>
          <w:rFonts w:ascii="Times New Roman" w:hAnsi="Times New Roman" w:eastAsia="宋体"/>
          <w:sz w:val="21"/>
        </w:rPr>
        <w:t>Huang K, Narajala V S, Habler I, et al. Agent Name Service (ANS): A Universal Directory for Secure AI Agent Discovery and Interoperability. arXiv:2505.10609, 2025.</w:t>
      </w:r>
    </w:p>
    <w:p>
      <w:pPr>
        <w:pStyle w:val="ListNumber"/>
      </w:pPr>
      <w:r>
        <w:rPr>
          <w:rFonts w:ascii="Times New Roman" w:hAnsi="Times New Roman" w:eastAsia="宋体"/>
          <w:sz w:val="21"/>
        </w:rPr>
        <w:t>Yao S, Zhao J, Yu D, et al. ReAct: Synergizing Reasoning and Acting in Language Models. ICLR, 2023.</w:t>
      </w:r>
    </w:p>
    <w:p>
      <w:pPr>
        <w:pStyle w:val="ListNumber"/>
      </w:pPr>
      <w:r>
        <w:rPr>
          <w:rFonts w:ascii="Times New Roman" w:hAnsi="Times New Roman" w:eastAsia="宋体"/>
          <w:sz w:val="21"/>
        </w:rPr>
        <w:t>Schick T, Dwivedi-Yu J, Dessi R, et al. Toolformer: Language Models Can Teach Themselves to Use Tools. NeurIPS, 2023.</w:t>
      </w:r>
    </w:p>
    <w:p>
      <w:pPr>
        <w:pStyle w:val="ListNumber"/>
      </w:pPr>
      <w:r>
        <w:rPr>
          <w:rFonts w:ascii="Times New Roman" w:hAnsi="Times New Roman" w:eastAsia="宋体"/>
          <w:sz w:val="21"/>
        </w:rPr>
        <w:t>Patil S G, Zhang T, Wang X, et al. Gorilla: Large Language Model Connected with Massive APIs. NeurIPS, 2024.</w:t>
      </w:r>
    </w:p>
    <w:p>
      <w:pPr>
        <w:pStyle w:val="ListNumber"/>
      </w:pPr>
      <w:r>
        <w:rPr>
          <w:rFonts w:ascii="Times New Roman" w:hAnsi="Times New Roman" w:eastAsia="宋体"/>
          <w:sz w:val="21"/>
        </w:rPr>
        <w:t>Qin Y, Liang S, Ye Y, et al. ToolLLM: Facilitating Large Language Models to Master 16000+ Real-world APIs. ICLR, 2024.</w:t>
      </w:r>
    </w:p>
    <w:p>
      <w:pPr>
        <w:pStyle w:val="ListNumber"/>
      </w:pPr>
      <w:r>
        <w:rPr>
          <w:rFonts w:ascii="Times New Roman" w:hAnsi="Times New Roman" w:eastAsia="宋体"/>
          <w:sz w:val="21"/>
        </w:rPr>
        <w:t>Li M, Zhao Y, Yu B, et al. API-Bank: A Comprehensive Benchmark for Tool-Augmented LLMs. EMNLP, 2023.</w:t>
      </w:r>
    </w:p>
    <w:p>
      <w:pPr>
        <w:pStyle w:val="ListNumber"/>
      </w:pPr>
      <w:r>
        <w:rPr>
          <w:rFonts w:ascii="Times New Roman" w:hAnsi="Times New Roman" w:eastAsia="宋体"/>
          <w:sz w:val="21"/>
        </w:rPr>
        <w:t>Patil S G, Mao H, Yan F, et al. The Berkeley Function Calling Leaderboard (BFCL): From Tool Use to Agentic Evaluation of Large Language Models. ICML, 2025.</w:t>
      </w:r>
    </w:p>
    <w:p>
      <w:pPr>
        <w:pStyle w:val="ListNumber"/>
      </w:pPr>
      <w:r>
        <w:rPr>
          <w:rFonts w:ascii="Times New Roman" w:hAnsi="Times New Roman" w:eastAsia="宋体"/>
          <w:sz w:val="21"/>
        </w:rPr>
        <w:t>Ong I, Almahairi A, Wu V, et al. RouteLLM: Learning to Route LLMs with Preference Data. arXiv:2406.18665, 2024.</w:t>
      </w:r>
    </w:p>
    <w:p>
      <w:pPr>
        <w:pStyle w:val="ListNumber"/>
      </w:pPr>
      <w:r>
        <w:rPr>
          <w:rFonts w:ascii="Times New Roman" w:hAnsi="Times New Roman" w:eastAsia="宋体"/>
          <w:sz w:val="21"/>
        </w:rPr>
        <w:t>Du Y, Li S, Torralba A, et al. Improving Factuality and Reasoning in Language Models through Multiagent Debate. arXiv:2305.14325, 2023.</w:t>
      </w:r>
    </w:p>
    <w:p>
      <w:pPr>
        <w:pStyle w:val="ListNumber"/>
      </w:pPr>
      <w:r>
        <w:rPr>
          <w:rFonts w:ascii="Times New Roman" w:hAnsi="Times New Roman" w:eastAsia="宋体"/>
          <w:sz w:val="21"/>
        </w:rPr>
        <w:t>Wang Q, Wang Z, Su Y, et al. Rethinking the Bounds of LLM Reasoning: Are Multi-Agent Discussions the Key? ACL, 2024.</w:t>
      </w:r>
    </w:p>
    <w:p>
      <w:pPr>
        <w:pStyle w:val="Heading2"/>
      </w:pPr>
      <w:r>
        <w:t>本地参考材料</w:t>
      </w:r>
    </w:p>
    <w:p>
      <w:pPr>
        <w:pStyle w:val="ListNumber"/>
      </w:pPr>
      <w:r>
        <w:rPr>
          <w:rFonts w:ascii="Times New Roman" w:hAnsi="Times New Roman" w:eastAsia="宋体"/>
          <w:sz w:val="21"/>
        </w:rPr>
        <w:t>/Users/xizhuxizhu/Desktop/桌面整理/文档/自立科研项目任务书-邓斯宇.doc</w:t>
      </w:r>
    </w:p>
    <w:p>
      <w:pPr>
        <w:pStyle w:val="ListNumber"/>
      </w:pPr>
      <w:r>
        <w:rPr>
          <w:rFonts w:ascii="Times New Roman" w:hAnsi="Times New Roman" w:eastAsia="宋体"/>
          <w:sz w:val="21"/>
        </w:rPr>
        <w:t>output/doc/自立科研项目验收报告_填写版_20260426.md</w:t>
      </w:r>
    </w:p>
    <w:p>
      <w:pPr>
        <w:pStyle w:val="ListNumber"/>
      </w:pPr>
      <w:r>
        <w:rPr>
          <w:rFonts w:ascii="Times New Roman" w:hAnsi="Times New Roman" w:eastAsia="宋体"/>
          <w:sz w:val="21"/>
        </w:rPr>
        <w:t>output/doc/项目成果汇编_20260416.md</w:t>
      </w:r>
    </w:p>
    <w:p>
      <w:pPr>
        <w:pStyle w:val="ListNumber"/>
      </w:pPr>
      <w:r>
        <w:rPr>
          <w:rFonts w:ascii="Times New Roman" w:hAnsi="Times New Roman" w:eastAsia="宋体"/>
          <w:sz w:val="21"/>
        </w:rPr>
        <w:t>output/doc/技术研究报告_20260406.md</w:t>
      </w:r>
    </w:p>
    <w:p>
      <w:pPr>
        <w:pStyle w:val="ListNumber"/>
      </w:pPr>
      <w:r>
        <w:rPr>
          <w:rFonts w:ascii="Times New Roman" w:hAnsi="Times New Roman" w:eastAsia="宋体"/>
          <w:sz w:val="21"/>
        </w:rPr>
        <w:t>output/doc/gjtx_submission_20260413/main.tex</w:t>
      </w:r>
    </w:p>
    <w:p>
      <w:pPr>
        <w:pStyle w:val="ListNumber"/>
      </w:pPr>
      <w:r>
        <w:rPr>
          <w:rFonts w:ascii="Times New Roman" w:hAnsi="Times New Roman" w:eastAsia="宋体"/>
          <w:sz w:val="21"/>
        </w:rPr>
        <w:t>output/doc/结项技术报告写作交接说明_20260515.md</w:t>
      </w:r>
    </w:p>
    <w:p>
      <w:pPr>
        <w:pStyle w:val="ListNumber"/>
      </w:pPr>
      <w:r>
        <w:rPr>
          <w:rFonts w:ascii="Times New Roman" w:hAnsi="Times New Roman" w:eastAsia="宋体"/>
          <w:sz w:val="21"/>
        </w:rPr>
        <w:t>data/agentdns_routing/formal/README.md</w:t>
      </w:r>
    </w:p>
    <w:p>
      <w:pPr>
        <w:pStyle w:val="ListNumber"/>
      </w:pPr>
      <w:r>
        <w:rPr>
          <w:rFonts w:ascii="Times New Roman" w:hAnsi="Times New Roman" w:eastAsia="宋体"/>
          <w:sz w:val="21"/>
        </w:rPr>
        <w:t>src/agentdns_routing/</w:t>
      </w:r>
    </w:p>
    <w:p>
      <w:pPr>
        <w:pStyle w:val="ListNumber"/>
      </w:pPr>
      <w:r>
        <w:rPr>
          <w:rFonts w:ascii="Times New Roman" w:hAnsi="Times New Roman" w:eastAsia="宋体"/>
          <w:sz w:val="21"/>
        </w:rPr>
        <w:t>scripts/</w:t>
      </w:r>
    </w:p>
    <w:p>
      <w:pPr>
        <w:pStyle w:val="ListNumber"/>
      </w:pPr>
      <w:r>
        <w:rPr>
          <w:rFonts w:ascii="Times New Roman" w:hAnsi="Times New Roman" w:eastAsia="宋体"/>
          <w:sz w:val="21"/>
        </w:rPr>
        <w:t>tests/</w:t>
      </w:r>
    </w:p>
    <w:p>
      <w:pPr>
        <w:pStyle w:val="ListNumber"/>
      </w:pPr>
      <w:r>
        <w:rPr>
          <w:rFonts w:ascii="Times New Roman" w:hAnsi="Times New Roman" w:eastAsia="宋体"/>
          <w:sz w:val="21"/>
        </w:rPr>
        <w:t>output/figures/retrospective_train_test_20260331/</w:t>
      </w:r>
    </w:p>
    <w:p>
      <w:pPr>
        <w:pStyle w:val="Heading1"/>
      </w:pPr>
      <w:r>
        <w:t>附录：建议随结项提交或备查的材料</w:t>
      </w:r>
    </w:p>
    <w:p>
      <w:pPr>
        <w:pStyle w:val="ListNumber"/>
      </w:pPr>
      <w:r>
        <w:rPr>
          <w:rFonts w:ascii="Times New Roman" w:hAnsi="Times New Roman" w:eastAsia="宋体"/>
          <w:sz w:val="21"/>
        </w:rPr>
        <w:t>自立科研项目任务书。</w:t>
      </w:r>
    </w:p>
    <w:p>
      <w:pPr>
        <w:pStyle w:val="ListNumber"/>
      </w:pPr>
      <w:r>
        <w:rPr>
          <w:rFonts w:ascii="Times New Roman" w:hAnsi="Times New Roman" w:eastAsia="宋体"/>
          <w:sz w:val="21"/>
        </w:rPr>
        <w:t>本结项技术报告。</w:t>
      </w:r>
    </w:p>
    <w:p>
      <w:pPr>
        <w:pStyle w:val="ListNumber"/>
      </w:pPr>
      <w:r>
        <w:rPr>
          <w:rFonts w:ascii="Times New Roman" w:hAnsi="Times New Roman" w:eastAsia="宋体"/>
          <w:sz w:val="21"/>
        </w:rPr>
        <w:t>技术研究报告、论文稿及PDF。</w:t>
      </w:r>
    </w:p>
    <w:p>
      <w:pPr>
        <w:pStyle w:val="ListNumber"/>
      </w:pPr>
      <w:r>
        <w:rPr>
          <w:rFonts w:ascii="Times New Roman" w:hAnsi="Times New Roman" w:eastAsia="宋体"/>
          <w:sz w:val="21"/>
        </w:rPr>
        <w:t>原型系统说明、代码目录说明、运行截图或演示材料。</w:t>
      </w:r>
    </w:p>
    <w:p>
      <w:pPr>
        <w:pStyle w:val="ListNumber"/>
      </w:pPr>
      <w:r>
        <w:rPr>
          <w:rFonts w:ascii="Times New Roman" w:hAnsi="Times New Roman" w:eastAsia="宋体"/>
          <w:sz w:val="21"/>
        </w:rPr>
        <w:t>实验数据说明、评测结果表、图表材料和样本校验报告。</w:t>
      </w:r>
    </w:p>
    <w:p>
      <w:pPr>
        <w:pStyle w:val="ListNumber"/>
      </w:pPr>
      <w:r>
        <w:rPr>
          <w:rFonts w:ascii="Times New Roman" w:hAnsi="Times New Roman" w:eastAsia="宋体"/>
          <w:sz w:val="21"/>
        </w:rPr>
        <w:t>发明专利申请材料、技术交底书、权利要求书、说明书摘要和附图。</w:t>
      </w:r>
    </w:p>
    <w:p>
      <w:pPr>
        <w:pStyle w:val="ListNumber"/>
      </w:pPr>
      <w:r>
        <w:rPr>
          <w:rFonts w:ascii="Times New Roman" w:hAnsi="Times New Roman" w:eastAsia="宋体"/>
          <w:sz w:val="21"/>
        </w:rPr>
        <w:t>成果汇编、成果宣传稿、安全公开版宣传稿。</w:t>
      </w:r>
    </w:p>
    <w:p>
      <w:pPr>
        <w:pStyle w:val="ListNumber"/>
      </w:pPr>
      <w:r>
        <w:rPr>
          <w:rFonts w:ascii="Times New Roman" w:hAnsi="Times New Roman" w:eastAsia="宋体"/>
          <w:sz w:val="21"/>
        </w:rPr>
        <w:t>对内成果展示或汇报证明材料，如PPT、会议纪要、录屏或现场照片。</w:t>
      </w:r>
    </w:p>
    <w:p>
      <w:pPr>
        <w:pStyle w:val="ListNumber"/>
      </w:pPr>
      <w:r>
        <w:rPr>
          <w:rFonts w:ascii="Times New Roman" w:hAnsi="Times New Roman" w:eastAsia="宋体"/>
          <w:sz w:val="21"/>
        </w:rPr>
        <w:t>经费执行、财务决算和票据证明材料，由财务部门补充。</w:t>
      </w:r>
    </w:p>
    <w:sectPr w:rsidR="00FC693F" w:rsidRPr="0006063C" w:rsidSect="00034616">
      <w:pgSz w:w="12240" w:h="15840"/>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