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center"/>
      </w:pPr>
      <w:r>
        <w:rPr>
          <w:rFonts w:ascii="Times New Roman" w:hAnsi="Times New Roman" w:eastAsia="黑体"/>
          <w:b/>
          <w:sz w:val="32"/>
        </w:rPr>
        <w:t>系列研究成果（拟）：面向互联网基础资源的大模型多智能体协作与可信认知标识技术研究</w:t>
      </w:r>
    </w:p>
    <w:p>
      <w:pPr>
        <w:spacing w:line="300" w:lineRule="auto"/>
        <w:ind w:firstLine="476"/>
      </w:pPr>
      <w:r>
        <w:rPr>
          <w:rFonts w:ascii="Times New Roman" w:hAnsi="Times New Roman" w:eastAsia="宋体"/>
          <w:b w:val="0"/>
          <w:sz w:val="24"/>
        </w:rPr>
        <w:t>随着大模型和智能体应用加快发展，互联网基础资源的服务对象正由传统静态资源向可调用智能体服务延伸。面对自然语言请求表达多样、服务能力边界复杂、处理结果需要更加稳妥可解释等新情况，相关研究开始从智能体命名、发现、协同处理和可信调用等方面展开探索。依托“面向互联网基础资源的大模型多智能体协作与可信认知标识技术研究”项目，研究团队围绕互联网基础资源场景下智能体命名与可信调用问题开展了原型研究与验证工作。</w:t>
      </w:r>
    </w:p>
    <w:p>
      <w:pPr>
        <w:spacing w:before="160" w:after="80" w:line="300" w:lineRule="auto"/>
      </w:pPr>
      <w:r>
        <w:rPr>
          <w:rFonts w:ascii="Times New Roman" w:hAnsi="Times New Roman" w:eastAsia="黑体"/>
          <w:b/>
          <w:sz w:val="28"/>
        </w:rPr>
        <w:t>一、互联网基础资源场景下的智能体命名与组织</w:t>
      </w:r>
    </w:p>
    <w:p>
      <w:pPr>
        <w:spacing w:line="300" w:lineRule="auto"/>
        <w:ind w:firstLine="476"/>
      </w:pPr>
      <w:r>
        <w:rPr>
          <w:rFonts w:ascii="Times New Roman" w:hAnsi="Times New Roman" w:eastAsia="宋体"/>
          <w:b w:val="0"/>
          <w:sz w:val="24"/>
        </w:rPr>
        <w:t>在互联网基础资源场景中，智能体服务既具有能力类型多样、应用边界交叉的特点，也面临调用关系复杂、服务形态持续变化等问题。与传统静态资源相比，智能体服务更强调对任务意图的理解、对服务能力的组织以及对调用过程的有序衔接。因此，如何形成较为清晰的命名方式和组织方式，成为智能体服务进入互联网基础资源场景后的一个基础问题。</w:t>
      </w:r>
    </w:p>
    <w:p>
      <w:pPr>
        <w:spacing w:line="300" w:lineRule="auto"/>
        <w:ind w:firstLine="476"/>
      </w:pPr>
      <w:r>
        <w:rPr>
          <w:rFonts w:ascii="Times New Roman" w:hAnsi="Times New Roman" w:eastAsia="宋体"/>
          <w:b w:val="0"/>
          <w:sz w:val="24"/>
        </w:rPr>
        <w:t>围绕这一问题，研究借鉴互联网基础资源分层命名与稳定标识思路，对相关智能体能力进行系统梳理，探索形成面向智能体服务组织的命名与表达方式，推动智能体服务由分散描述向统一表达转变。相关工作使智能体服务在展示、组织和调用上的表达更加清晰，也反映出互联网基础资源的组织方式正在由传统资源标识向面向智能体服务的表达方式拓展。</w:t>
      </w:r>
    </w:p>
    <w:p>
      <w:pPr>
        <w:spacing w:before="160" w:after="80" w:line="300" w:lineRule="auto"/>
      </w:pPr>
      <w:r>
        <w:rPr>
          <w:rFonts w:ascii="Times New Roman" w:hAnsi="Times New Roman" w:eastAsia="黑体"/>
          <w:b/>
          <w:sz w:val="28"/>
        </w:rPr>
        <w:t>二、面向复杂请求处理的原型研究</w:t>
      </w:r>
    </w:p>
    <w:p>
      <w:pPr>
        <w:spacing w:line="300" w:lineRule="auto"/>
        <w:ind w:firstLine="476"/>
      </w:pPr>
      <w:r>
        <w:rPr>
          <w:rFonts w:ascii="Times New Roman" w:hAnsi="Times New Roman" w:eastAsia="宋体"/>
          <w:b w:val="0"/>
          <w:sz w:val="24"/>
        </w:rPr>
        <w:t>在命名与组织研究基础上，项目进一步围绕复杂请求处理开展原型研究。针对自然语言请求中常见的表达复杂、条件并存、语义交叉等情况，探索将大模型语义理解、多智能体协同处理和可信认知标识相关支撑相结合，形成面向复杂请求处理的原型思路。</w:t>
      </w:r>
    </w:p>
    <w:p>
      <w:pPr>
        <w:spacing w:line="300" w:lineRule="auto"/>
        <w:ind w:firstLine="476"/>
      </w:pPr>
      <w:r>
        <w:rPr>
          <w:rFonts w:ascii="Times New Roman" w:hAnsi="Times New Roman" w:eastAsia="宋体"/>
          <w:b w:val="0"/>
          <w:sz w:val="24"/>
        </w:rPr>
        <w:t>相关研究主要聚焦三个方面。一是面向复杂请求的理解与服务匹配，增强自然语言请求与智能体服务之间的衔接能力；二是面向复杂场景的协同处理，提升复杂条件下处理结果的稳定性；三是面向可信调用的结果说明与过程记录，使处理结果更易理解、更便于复盘。整体来看，这一原型研究并非面向某一单一应用工具，而是围绕互联网基础资源场景中的共性问题展开，体现了大模型、多智能体协作与可信认知标识技术在相关场景中的结合方向。</w:t>
      </w:r>
    </w:p>
    <w:p>
      <w:pPr>
        <w:spacing w:before="160" w:after="80" w:line="300" w:lineRule="auto"/>
      </w:pPr>
      <w:r>
        <w:rPr>
          <w:rFonts w:ascii="Times New Roman" w:hAnsi="Times New Roman" w:eastAsia="黑体"/>
          <w:b/>
          <w:sz w:val="28"/>
        </w:rPr>
        <w:t>三、原型系统与验证结果</w:t>
      </w:r>
    </w:p>
    <w:p>
      <w:pPr>
        <w:spacing w:line="300" w:lineRule="auto"/>
        <w:ind w:firstLine="476"/>
      </w:pPr>
      <w:r>
        <w:rPr>
          <w:rFonts w:ascii="Times New Roman" w:hAnsi="Times New Roman" w:eastAsia="宋体"/>
          <w:b w:val="0"/>
          <w:sz w:val="24"/>
        </w:rPr>
        <w:t>在上述研究基础上，项目形成了面向互联网基础资源场景的原型系统，能够较为完整地呈现智能体服务组织、请求处理和结果展示等环节，可用于典型场景演示、功能验证和后续扩展研究。</w:t>
      </w:r>
    </w:p>
    <w:p>
      <w:pPr>
        <w:spacing w:line="300" w:lineRule="auto"/>
        <w:ind w:firstLine="476"/>
      </w:pPr>
      <w:r>
        <w:rPr>
          <w:rFonts w:ascii="Times New Roman" w:hAnsi="Times New Roman" w:eastAsia="宋体"/>
          <w:b w:val="0"/>
          <w:sz w:val="24"/>
        </w:rPr>
        <w:t>围绕原型系统，研究团队开展了多轮实验和阶段性验证。结果表明，相关研究思路在复杂场景下具有一定应用潜力；在引入多智能体协同处理后，复杂请求下的处理准确率和稳定性得到进一步提升，说明大模型与多智能体协作结合的处理方式在相关场景中具有积极作用。</w:t>
      </w:r>
    </w:p>
    <w:p>
      <w:pPr>
        <w:spacing w:line="300" w:lineRule="auto"/>
        <w:ind w:firstLine="476"/>
      </w:pPr>
      <w:r>
        <w:rPr>
          <w:rFonts w:ascii="Times New Roman" w:hAnsi="Times New Roman" w:eastAsia="宋体"/>
          <w:b w:val="0"/>
          <w:sz w:val="24"/>
        </w:rPr>
        <w:t>总体来看，该项研究展示了互联网基础资源与智能体服务结合的现实需求和发展方向，也体现了智能体服务在组织方式、调用方式和可信运行方面的新特点。相关原型和成果材料反映出互联网基础资源正由传统资源标识、解析与服务支撑，逐步向智能体化服务延伸。</w:t>
      </w:r>
    </w:p>
    <w:p>
      <w:pPr>
        <w:spacing w:line="300" w:lineRule="auto"/>
        <w:jc w:val="center"/>
      </w:pPr>
      <w:r>
        <w:rPr>
          <w:rFonts w:ascii="Times New Roman" w:hAnsi="Times New Roman" w:eastAsia="黑体"/>
          <w:b/>
          <w:sz w:val="32"/>
        </w:rPr>
        <w:t>发布口径说明</w:t>
      </w:r>
    </w:p>
    <w:p>
      <w:pPr>
        <w:spacing w:line="300" w:lineRule="auto"/>
      </w:pPr>
      <w:r>
        <w:rPr>
          <w:rFonts w:ascii="Times New Roman" w:hAnsi="Times New Roman" w:eastAsia="宋体"/>
          <w:b w:val="0"/>
          <w:sz w:val="24"/>
        </w:rPr>
        <w:t>1. 本稿仅用于对外展示研究方向、阶段性进展和应用价值。</w:t>
      </w:r>
    </w:p>
    <w:p>
      <w:pPr>
        <w:spacing w:line="300" w:lineRule="auto"/>
      </w:pPr>
      <w:r>
        <w:rPr>
          <w:rFonts w:ascii="Times New Roman" w:hAnsi="Times New Roman" w:eastAsia="宋体"/>
          <w:b w:val="0"/>
          <w:sz w:val="24"/>
        </w:rPr>
        <w:t>2. 本稿未公开专利申请中的技术方案、关键流程、核心创新点，未披露论文评审相关方法细节、实验设置、数据口径和对比结论，未涉及核心实现机制、关键参数、算法细节、样本细节、提示词、接口字段和部署信息。</w:t>
      </w:r>
    </w:p>
    <w:p>
      <w:pPr>
        <w:spacing w:line="300" w:lineRule="auto"/>
      </w:pPr>
      <w:r>
        <w:rPr>
          <w:rFonts w:ascii="Times New Roman" w:hAnsi="Times New Roman" w:eastAsia="宋体"/>
          <w:b w:val="0"/>
          <w:sz w:val="24"/>
        </w:rPr>
        <w:t>3. 本稿未披露敏感业务信息、合作信息及其他不宜公开内容。</w:t>
      </w:r>
    </w:p>
    <w:p>
      <w:pPr>
        <w:spacing w:line="300" w:lineRule="auto"/>
      </w:pPr>
      <w:r>
        <w:rPr>
          <w:rFonts w:ascii="Times New Roman" w:hAnsi="Times New Roman" w:eastAsia="宋体"/>
          <w:b w:val="0"/>
          <w:sz w:val="24"/>
        </w:rPr>
        <w:t>4. 对外发布时不建议使用专利技术交底书中的流程图、结构图、附图标题、实施例描述、样例内容及其他能够反推出技术方案骨架的材料。</w:t>
      </w:r>
    </w:p>
    <w:p>
      <w:pPr>
        <w:spacing w:line="300" w:lineRule="auto"/>
      </w:pPr>
      <w:r>
        <w:rPr>
          <w:rFonts w:ascii="Times New Roman" w:hAnsi="Times New Roman" w:eastAsia="宋体"/>
          <w:b w:val="0"/>
          <w:sz w:val="24"/>
        </w:rPr>
        <w:t>5. 如需进一步对外发布，建议继续按栏目口径压缩为“方向介绍 + 阶段成果 + 应用价值”三部分，避免扩展技术方案细节。</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