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黑体"/>
          <w:b/>
          <w:sz w:val="32"/>
        </w:rPr>
        <w:t>面向互联网基础资源的大模型多智能体协作与可信认知标识技术研究</w:t>
      </w:r>
    </w:p>
    <w:p>
      <w:pPr>
        <w:spacing w:line="360" w:lineRule="auto" w:after="0"/>
        <w:ind w:firstLine="476"/>
      </w:pPr>
      <w:r>
        <w:rPr>
          <w:rFonts w:ascii="Times New Roman" w:hAnsi="Times New Roman" w:eastAsia="宋体"/>
          <w:b w:val="0"/>
          <w:sz w:val="24"/>
        </w:rPr>
        <w:t>本材料围绕“面向互联网基础资源的大模型多智能体协作与可信认知标识技术研究”项目形成的阶段性成果进行汇编整理，重点归纳项目在互联网基础资源场景下围绕智能体命名、语义路由、协作复核与可信留痕等方面形成的研究思路、关键内容、创新点、实验验证结果和成果体系。全文坚持不附论文原文、专利原件及其他附件材料，仅对研究成果要点进行系统梳理，并在文末补充项目标签信息，便于后续归档、审阅和成果报送。</w:t>
      </w:r>
    </w:p>
    <w:p>
      <w:pPr>
        <w:spacing w:before="160" w:after="80"/>
      </w:pPr>
      <w:r>
        <w:rPr>
          <w:rFonts w:ascii="Times New Roman" w:hAnsi="Times New Roman" w:eastAsia="黑体"/>
          <w:b/>
          <w:sz w:val="28"/>
        </w:rPr>
        <w:t>一、研究背景与立项意义</w:t>
      </w:r>
    </w:p>
    <w:p>
      <w:pPr>
        <w:spacing w:before="120" w:after="80"/>
      </w:pPr>
      <w:r>
        <w:rPr>
          <w:rFonts w:ascii="Times New Roman" w:hAnsi="Times New Roman" w:eastAsia="黑体"/>
          <w:b/>
          <w:sz w:val="24"/>
        </w:rPr>
        <w:t>（一）互联网基础资源场景对智能体服务组织提出了新的基础问题</w:t>
      </w:r>
    </w:p>
    <w:p>
      <w:pPr>
        <w:spacing w:line="360" w:lineRule="auto" w:after="0"/>
        <w:ind w:firstLine="476"/>
      </w:pPr>
      <w:r>
        <w:rPr>
          <w:rFonts w:ascii="Times New Roman" w:hAnsi="Times New Roman" w:eastAsia="宋体"/>
          <w:b w:val="0"/>
          <w:sz w:val="24"/>
        </w:rPr>
        <w:t>随着大模型和智能体应用加快发展，互联网基础资源的服务对象正在由传统静态资源向可调用、可协同、可演化的智能体服务延伸。在传统互联网环境中，域名、地址、标识、解析和服务发现等机制主要面向网页、接口、平台和静态内容对象；而在智能体时代，服务主体开始呈现出能力边界动态变化、角色职责可组合、任务执行依赖上下文语义的显著特点。这意味着，互联网基础资源不仅需要继续承担资源标识和连接支撑功能，还需要逐步支撑智能体能力的组织表达、语义寻址、可信调用和过程留痕。</w:t>
      </w:r>
    </w:p>
    <w:p>
      <w:pPr>
        <w:spacing w:line="360" w:lineRule="auto" w:after="0"/>
        <w:ind w:firstLine="476"/>
      </w:pPr>
      <w:r>
        <w:rPr>
          <w:rFonts w:ascii="Times New Roman" w:hAnsi="Times New Roman" w:eastAsia="宋体"/>
          <w:b w:val="0"/>
          <w:sz w:val="24"/>
        </w:rPr>
        <w:t>在这一变化过程中，互联网基础资源场景面临三个突出的基础问题。一是如何对能力类型多样、边界交叉明显的智能体服务形成相对稳定、可扩展的命名与地址表达方式，使能力能够被统一描述、统一组织和统一调用。二是如何把自然语言形式的复杂请求稳定映射到正确的能力入口，在面对多意图表达、层级竞争、跨域重叠和风险约束时仍然保持较高的准确率和一致性。三是如何在结果输出之外保留足够的过程证据，使系统不仅能给出路由结论，还能够说明为什么这样判断、何时需要复核、复核依据来自哪里，从而为互联网基础资源场景中的可信认知标识提供方法支撑。</w:t>
      </w:r>
    </w:p>
    <w:p>
      <w:pPr>
        <w:spacing w:before="120" w:after="80"/>
      </w:pPr>
      <w:r>
        <w:rPr>
          <w:rFonts w:ascii="Times New Roman" w:hAnsi="Times New Roman" w:eastAsia="黑体"/>
          <w:b/>
          <w:sz w:val="24"/>
        </w:rPr>
        <w:t>（二）现有方法在复杂语义任务中存在准确性与可信性双重不足</w:t>
      </w:r>
    </w:p>
    <w:p>
      <w:pPr>
        <w:spacing w:line="360" w:lineRule="auto" w:after="0"/>
        <w:ind w:firstLine="476"/>
      </w:pPr>
      <w:r>
        <w:rPr>
          <w:rFonts w:ascii="Times New Roman" w:hAnsi="Times New Roman" w:eastAsia="宋体"/>
          <w:b w:val="0"/>
          <w:sz w:val="24"/>
        </w:rPr>
        <w:t>围绕语义匹配、意图识别和服务选择，现有方法大致可以分为规则或轻量打分方法，以及一步式大模型裁决方法两类。前者实现成本较低、运行效率较高，在关键词清晰、语义边界明确的场景下具有一定实用性，但当请求中同时包含主任务、次要诉求、上下文条件与治理约束时，规则方法往往难以在多个候选能力之间做出稳定比较，容易产生父子层级错选、跨域误判或相关能力遗漏。后者具备更强的语义泛化能力，能够更好理解复杂自然语言，但如果缺乏清晰的候选边界、结构化证据组织和可控改判机制，则容易把开放式生成能力直接带入需要稳定决策的场景，导致结论漂移、证据不足和结果不可复盘。</w:t>
      </w:r>
    </w:p>
    <w:p>
      <w:pPr>
        <w:spacing w:line="360" w:lineRule="auto" w:after="0"/>
        <w:ind w:firstLine="476"/>
      </w:pPr>
      <w:r>
        <w:rPr>
          <w:rFonts w:ascii="Times New Roman" w:hAnsi="Times New Roman" w:eastAsia="宋体"/>
          <w:b w:val="0"/>
          <w:sz w:val="24"/>
        </w:rPr>
        <w:t>对于互联网基础资源场景而言，准确率并不是唯一目标。由于路由结果往往直接关联后续执行实例、服务调用流程和治理责任边界，系统必须同时满足三个条件：一是候选边界清晰，便于区分召回错误、裁决错误和执行落点错误；二是输出结构稳定，能够支持主能力判断、相关能力识别以及下游实例选择；三是过程可审计，能够保留候选快照、语义交接、复核提案和改判来源。也就是说，该类问题本质上不是“开放式生成一个看起来合理的答案”，而是“在固定候选边界内做出可解释、可复核、可回放的受约束判断”。</w:t>
      </w:r>
    </w:p>
    <w:p>
      <w:pPr>
        <w:spacing w:before="120" w:after="80"/>
      </w:pPr>
      <w:r>
        <w:rPr>
          <w:rFonts w:ascii="Times New Roman" w:hAnsi="Times New Roman" w:eastAsia="黑体"/>
          <w:b/>
          <w:sz w:val="24"/>
        </w:rPr>
        <w:t>（三）项目以典型场景牵引总体研究目标落地</w:t>
      </w:r>
    </w:p>
    <w:p>
      <w:pPr>
        <w:spacing w:line="360" w:lineRule="auto" w:after="0"/>
        <w:ind w:firstLine="476"/>
      </w:pPr>
      <w:r>
        <w:rPr>
          <w:rFonts w:ascii="Times New Roman" w:hAnsi="Times New Roman" w:eastAsia="宋体"/>
          <w:b w:val="0"/>
          <w:sz w:val="24"/>
        </w:rPr>
        <w:t>本项目从任务书设定出发，面向互联网基础资源相关语义任务，探索大模型多智能体协作机制、认知异质性表达方式、协作共识演化路径和过程可信标识能力，并要求形成可运行原型系统、研究报告或论文、专利材料以及成果展示支撑材料。在具体实施过程中，项目选择“智能体命名与语义路由”作为最具代表性的典型场景，将总体目标收敛到一个更可验证、更可复盘、也更便于与互联网基础资源主业结合的问题上。</w:t>
      </w:r>
    </w:p>
    <w:p>
      <w:pPr>
        <w:spacing w:line="360" w:lineRule="auto" w:after="0"/>
        <w:ind w:firstLine="476"/>
      </w:pPr>
      <w:r>
        <w:rPr>
          <w:rFonts w:ascii="Times New Roman" w:hAnsi="Times New Roman" w:eastAsia="宋体"/>
          <w:b w:val="0"/>
          <w:sz w:val="24"/>
        </w:rPr>
        <w:t>围绕这一典型场景，项目的总体目标可以概括为三个方面。第一，形成一套面向互联网基础资源场景的能力命名与地址表达方式，为智能体服务组织、候选管理和能力展示提供统一语义底座。第二，构建兼顾准确率、稳定性和可解释性的高可信语义路由方法，在固定候选命名空间内同时完成主能力判断、相关能力识别与执行落点衔接。第三，建立结构化过程记录和受控协作复核机制，使系统能够对复杂样本进行有边界的智能体协同处理，并把关键判断过程沉淀为可审计、可复盘、可核验的过程轨迹。</w:t>
      </w:r>
    </w:p>
    <w:p>
      <w:pPr>
        <w:spacing w:before="160" w:after="80"/>
      </w:pPr>
      <w:r>
        <w:rPr>
          <w:rFonts w:ascii="Times New Roman" w:hAnsi="Times New Roman" w:eastAsia="黑体"/>
          <w:b/>
          <w:sz w:val="28"/>
        </w:rPr>
        <w:t>二、研究重点问题与总体思路</w:t>
      </w:r>
    </w:p>
    <w:p>
      <w:pPr>
        <w:spacing w:before="120" w:after="80"/>
      </w:pPr>
      <w:r>
        <w:rPr>
          <w:rFonts w:ascii="Times New Roman" w:hAnsi="Times New Roman" w:eastAsia="黑体"/>
          <w:b/>
          <w:sz w:val="24"/>
        </w:rPr>
        <w:t>（一）围绕受限能力命名空间界定核心研究对象</w:t>
      </w:r>
    </w:p>
    <w:p>
      <w:pPr>
        <w:spacing w:line="360" w:lineRule="auto" w:after="0"/>
        <w:ind w:firstLine="476"/>
      </w:pPr>
      <w:r>
        <w:rPr>
          <w:rFonts w:ascii="Times New Roman" w:hAnsi="Times New Roman" w:eastAsia="宋体"/>
          <w:b w:val="0"/>
          <w:sz w:val="24"/>
        </w:rPr>
        <w:t>项目研究首先对问题边界进行了明确界定。与开放式问答或通用文本生成不同，本项目面对的是受限能力命名空间内的语义路由问题，即所有候选能力都来自既定命名空间，系统必须在固定候选集合中完成主能力选择，并在必要时识别相关能力，再把主能力结果映射到后续执行实例。这样的界定使研究能够聚焦在候选内比较、层级粒度判断、多意图拆分和复杂样本修正等关键环节，而不是把不同阶段的误差混在一起。</w:t>
      </w:r>
    </w:p>
    <w:p>
      <w:pPr>
        <w:spacing w:line="360" w:lineRule="auto" w:after="0"/>
        <w:ind w:firstLine="476"/>
      </w:pPr>
      <w:r>
        <w:rPr>
          <w:rFonts w:ascii="Times New Roman" w:hAnsi="Times New Roman" w:eastAsia="宋体"/>
          <w:b w:val="0"/>
          <w:sz w:val="24"/>
        </w:rPr>
        <w:t>这一界定具有重要方法意义。其一，它把“能力命名”“语义路由”“实例落点”纳入同一链路，使研究既能覆盖方法问题，也能兼顾工程衔接。其二，它把召回边界显式化，使后续所有决策都在统一候选范围内进行，便于追踪错误来源。其三，它为可信认知标识奠定基础，因为只有当决策发生在受限边界内时，过程记录和审计分析才具有可解释性和可复用性。</w:t>
      </w:r>
    </w:p>
    <w:p>
      <w:pPr>
        <w:spacing w:before="120" w:after="80"/>
      </w:pPr>
      <w:r>
        <w:rPr>
          <w:rFonts w:ascii="Times New Roman" w:hAnsi="Times New Roman" w:eastAsia="黑体"/>
          <w:b/>
          <w:sz w:val="24"/>
        </w:rPr>
        <w:t>（二）围绕主能力、相关能力和执行落点形成统一分析框架</w:t>
      </w:r>
    </w:p>
    <w:p>
      <w:pPr>
        <w:spacing w:line="360" w:lineRule="auto" w:after="0"/>
        <w:ind w:firstLine="476"/>
      </w:pPr>
      <w:r>
        <w:rPr>
          <w:rFonts w:ascii="Times New Roman" w:hAnsi="Times New Roman" w:eastAsia="宋体"/>
          <w:b w:val="0"/>
          <w:sz w:val="24"/>
        </w:rPr>
        <w:t>项目没有把语义路由简单理解为单标签分类，而是把它拆解为三个相互关联的问题。第一是主能力选择，即针对给定请求判断最合适的能力入口。第二是相关能力识别，即识别与主能力存在协同关系、辅助关系或上下文补充关系的能力集合。第三是执行落点解析，即在主能力地址确定后，从具体实例集合中选择合适的执行落点。三者共同组成从语义理解到服务调用的完整链路。</w:t>
      </w:r>
    </w:p>
    <w:p>
      <w:pPr>
        <w:spacing w:line="360" w:lineRule="auto" w:after="0"/>
        <w:ind w:firstLine="476"/>
      </w:pPr>
      <w:r>
        <w:rPr>
          <w:rFonts w:ascii="Times New Roman" w:hAnsi="Times New Roman" w:eastAsia="宋体"/>
          <w:b w:val="0"/>
          <w:sz w:val="24"/>
        </w:rPr>
        <w:t>这一分析框架使研究结论更接近实际使用场景。对于互联网基础资源场景下的智能体服务而言，仅输出一个“看起来最像”的能力标签是不够的，还需要说明是否存在层级合理回落、是否遗漏关键关联能力、以及该能力最终如何对应到可执行实例。项目因此在研究设计中把主能力准确率、可接受准确率、相关能力识别质量和执行联动可行性统筹考虑，形成了兼顾方法效果与原型落地的整体路线。</w:t>
      </w:r>
    </w:p>
    <w:p>
      <w:pPr>
        <w:spacing w:before="120" w:after="80"/>
      </w:pPr>
      <w:r>
        <w:rPr>
          <w:rFonts w:ascii="Times New Roman" w:hAnsi="Times New Roman" w:eastAsia="黑体"/>
          <w:b/>
          <w:sz w:val="24"/>
        </w:rPr>
        <w:t>（三）形成“快路径判别 + 慢路径复核 + 全程留痕”的总体技术路线</w:t>
      </w:r>
    </w:p>
    <w:p>
      <w:pPr>
        <w:spacing w:line="360" w:lineRule="auto" w:after="0"/>
        <w:ind w:firstLine="476"/>
      </w:pPr>
      <w:r>
        <w:rPr>
          <w:rFonts w:ascii="Times New Roman" w:hAnsi="Times New Roman" w:eastAsia="宋体"/>
          <w:b w:val="0"/>
          <w:sz w:val="24"/>
        </w:rPr>
        <w:t>在总体思路上，项目并未追求让所有请求都经过复杂协作，而是采用“快路径判别 + 慢路径复核 + 全程留痕”的分层路线。所谓快路径，是指在候选集合已经确定的前提下，由规则基线和单智能体结构化语义判别完成高频、常规样本的快速裁决；所谓慢路径，是指仅对低置信、高风险、多意图冲突或层级竞争明显的复杂样本，才进一步触发多智能体职责化协作复核；所谓全程留痕，是指对候选组织、直接路由、语义摘要、复核提案、改判依据和执行落点进行统一记录，使整个处理过程能够被回放和解释。</w:t>
      </w:r>
    </w:p>
    <w:p>
      <w:pPr>
        <w:spacing w:line="360" w:lineRule="auto" w:after="0"/>
        <w:ind w:firstLine="476"/>
      </w:pPr>
      <w:r>
        <w:rPr>
          <w:rFonts w:ascii="Times New Roman" w:hAnsi="Times New Roman" w:eastAsia="宋体"/>
          <w:b w:val="0"/>
          <w:sz w:val="24"/>
        </w:rPr>
        <w:t>这一路线的核心考虑是把“是否需要复核”和“是否允许改判”分开管理。项目研究发现，复杂样本的收益并不来自协作次数越多越好，而在于复核是否建立在清晰语义交接和职责分工之上，以及最终改判是否受到显式授权约束。因此，项目把多智能体协作限定为一种条件化增强机制，而不是覆盖所有请求的统一慢路径，从而在准确率、可控性和成本之间形成更稳健的平衡。</w:t>
      </w:r>
    </w:p>
    <w:p>
      <w:pPr>
        <w:spacing w:before="160" w:after="80"/>
      </w:pPr>
      <w:r>
        <w:rPr>
          <w:rFonts w:ascii="Times New Roman" w:hAnsi="Times New Roman" w:eastAsia="黑体"/>
          <w:b/>
          <w:sz w:val="28"/>
        </w:rPr>
        <w:t>三、研究方案与关键内容</w:t>
      </w:r>
    </w:p>
    <w:p>
      <w:pPr>
        <w:spacing w:before="120" w:after="80"/>
      </w:pPr>
      <w:r>
        <w:rPr>
          <w:rFonts w:ascii="Times New Roman" w:hAnsi="Times New Roman" w:eastAsia="黑体"/>
          <w:b/>
          <w:sz w:val="24"/>
        </w:rPr>
        <w:t>（一）能力命名空间与地址表达机制</w:t>
      </w:r>
    </w:p>
    <w:p>
      <w:pPr>
        <w:spacing w:line="360" w:lineRule="auto" w:after="0"/>
        <w:ind w:firstLine="476"/>
      </w:pPr>
      <w:r>
        <w:rPr>
          <w:rFonts w:ascii="Times New Roman" w:hAnsi="Times New Roman" w:eastAsia="宋体"/>
          <w:b w:val="0"/>
          <w:sz w:val="24"/>
        </w:rPr>
        <w:t>围绕互联网基础资源场景下智能体能力组织的问题，项目首先构建了面向语义路由任务的能力命名空间。研究不是把智能体简单视为若干孤立工具，而是从服务能力、层级关系、场景标签、别名信息和节点描述等多个维度对其进行统一表达，形成可以支持候选组织、样本标注、实验验证和原型展示的能力地址体系。通过这一设计，项目实现了从“分散描述能力”到“统一组织能力”的转变，使不同来源、不同形态的智能体服务能够在同一语义坐标系中被比较和调用。</w:t>
      </w:r>
    </w:p>
    <w:p>
      <w:pPr>
        <w:spacing w:line="360" w:lineRule="auto" w:after="0"/>
        <w:ind w:firstLine="476"/>
      </w:pPr>
      <w:r>
        <w:rPr>
          <w:rFonts w:ascii="Times New Roman" w:hAnsi="Times New Roman" w:eastAsia="宋体"/>
          <w:b w:val="0"/>
          <w:sz w:val="24"/>
        </w:rPr>
        <w:t>在地址表达方面，项目进一步区分了能力地址与实例地址两类对象。能力地址用于表示“这一类请求应交给哪一类能力处理”，是语义路由阶段的核心输出；实例地址用于表示“最终由哪个具体实例执行”，是执行联动阶段的关键对象。这样的分层设计既保持了语义判断与运行时实例选择的功能解耦，也为后续注册、发现、路由、调度和运维留下了清晰接口。</w:t>
      </w:r>
    </w:p>
    <w:p>
      <w:pPr>
        <w:spacing w:before="120" w:after="80"/>
      </w:pPr>
      <w:r>
        <w:rPr>
          <w:rFonts w:ascii="Times New Roman" w:hAnsi="Times New Roman" w:eastAsia="黑体"/>
          <w:b/>
          <w:sz w:val="24"/>
        </w:rPr>
        <w:t>（二）候选组织与规则快路径</w:t>
      </w:r>
    </w:p>
    <w:p>
      <w:pPr>
        <w:spacing w:line="360" w:lineRule="auto" w:after="0"/>
        <w:ind w:firstLine="476"/>
      </w:pPr>
      <w:r>
        <w:rPr>
          <w:rFonts w:ascii="Times New Roman" w:hAnsi="Times New Roman" w:eastAsia="宋体"/>
          <w:b w:val="0"/>
          <w:sz w:val="24"/>
        </w:rPr>
        <w:t>在能力命名空间基础上，项目建立了候选组织与规则快路径机制。系统首先根据节点描述、别名信息、层级位置和元数据标签对候选能力进行召回和排序，在统一命名空间内形成受限候选集合。随后，通过规则分值、任务命中、上下文线索和层级粒度等确定性信号生成快路径初判结果。这样做的目的，并不是让规则方法承担全部任务，而是为后续语义判别和复杂样本复核提供一个清晰、稳定的候选边界和基线参考。</w:t>
      </w:r>
    </w:p>
    <w:p>
      <w:pPr>
        <w:spacing w:line="360" w:lineRule="auto" w:after="0"/>
        <w:ind w:firstLine="476"/>
      </w:pPr>
      <w:r>
        <w:rPr>
          <w:rFonts w:ascii="Times New Roman" w:hAnsi="Times New Roman" w:eastAsia="宋体"/>
          <w:b w:val="0"/>
          <w:sz w:val="24"/>
        </w:rPr>
        <w:t>这一部分研究有两个重要作用。第一，它为整个系统定义了搜索空间，使后续所有判断都在候选集合内部进行，避免开放式生成带来的边界失控。第二，它为系统提供了工程上成本较低、解释较直接的基础链路，使常规样本能够快速处理，而复杂样本则通过后续机制获得更精细的判断能力。项目在实验中也以此作为基线，对不同阶段的增益来源进行明确拆解。</w:t>
      </w:r>
    </w:p>
    <w:p>
      <w:pPr>
        <w:spacing w:before="120" w:after="80"/>
      </w:pPr>
      <w:r>
        <w:rPr>
          <w:rFonts w:ascii="Times New Roman" w:hAnsi="Times New Roman" w:eastAsia="黑体"/>
          <w:b/>
          <w:sz w:val="24"/>
        </w:rPr>
        <w:t>（三）单智能体结构化语义路由</w:t>
      </w:r>
    </w:p>
    <w:p>
      <w:pPr>
        <w:spacing w:line="360" w:lineRule="auto" w:after="0"/>
        <w:ind w:firstLine="476"/>
      </w:pPr>
      <w:r>
        <w:rPr>
          <w:rFonts w:ascii="Times New Roman" w:hAnsi="Times New Roman" w:eastAsia="宋体"/>
          <w:b w:val="0"/>
          <w:sz w:val="24"/>
        </w:rPr>
        <w:t>项目在候选集合内部引入了单智能体结构化语义路由机制，作为提升系统性能的主要核心环节。与一步式自由文本裁决不同，该机制不直接输出笼统结论，而是围绕主任务匹配度、主能力匹配度、相关能力判断、层级粒度适配、风险失配信号、不确定性摘要和竞争候选说明等结构化字段生成决策结果。通过这种方式，模型不再只给出“谁赢了”，而是同时给出“为什么当前候选更合适”“为什么竞争候选未被选中”“哪些因素可能导致后续改判”等一组可复核的证据。</w:t>
      </w:r>
    </w:p>
    <w:p>
      <w:pPr>
        <w:spacing w:line="360" w:lineRule="auto" w:after="0"/>
        <w:ind w:firstLine="476"/>
      </w:pPr>
      <w:r>
        <w:rPr>
          <w:rFonts w:ascii="Times New Roman" w:hAnsi="Times New Roman" w:eastAsia="宋体"/>
          <w:b w:val="0"/>
          <w:sz w:val="24"/>
        </w:rPr>
        <w:t>项目选择这种结构化语义判别方式，主要基于三点考虑。一是固定候选空间内真正的难点不是理解自然语言本身，而是如何对多个语义相近、层级相连或场景交叉的候选进行稳定比较。二是只有结构化输出，后续协作复核才能围绕同一组语义摘要开展有针对性的补充判断，而不是重复生成彼此不兼容的自由文本解释。三是统一格式的结果更容易与执行落点解析、错误分析和过程审计结合，提升系统的工程可用性。</w:t>
      </w:r>
    </w:p>
    <w:p>
      <w:pPr>
        <w:spacing w:before="120" w:after="80"/>
      </w:pPr>
      <w:r>
        <w:rPr>
          <w:rFonts w:ascii="Times New Roman" w:hAnsi="Times New Roman" w:eastAsia="黑体"/>
          <w:b/>
          <w:sz w:val="24"/>
        </w:rPr>
        <w:t>（四）多智能体职责化协作复核</w:t>
      </w:r>
    </w:p>
    <w:p>
      <w:pPr>
        <w:spacing w:line="360" w:lineRule="auto" w:after="0"/>
        <w:ind w:firstLine="476"/>
      </w:pPr>
      <w:r>
        <w:rPr>
          <w:rFonts w:ascii="Times New Roman" w:hAnsi="Times New Roman" w:eastAsia="宋体"/>
          <w:b w:val="0"/>
          <w:sz w:val="24"/>
        </w:rPr>
        <w:t>在单智能体结构化语义路由基础上，项目进一步构建了多智能体职责化协作复核机制。与一般意义上的多轮讨论不同，本项目的协作复核并不是让多个角色自由发散讨论，而是围绕固定候选集合和统一语义交接信息，由不同职责视角对同一样本进行定向复核。相关职责可以覆盖任务匹配、治理风险、层级关系、主次意图区分等不同关注点，通过分工方式提高复杂样本上的补充判断能力。</w:t>
      </w:r>
    </w:p>
    <w:p>
      <w:pPr>
        <w:spacing w:line="360" w:lineRule="auto" w:after="0"/>
        <w:ind w:firstLine="476"/>
      </w:pPr>
      <w:r>
        <w:rPr>
          <w:rFonts w:ascii="Times New Roman" w:hAnsi="Times New Roman" w:eastAsia="宋体"/>
          <w:b w:val="0"/>
          <w:sz w:val="24"/>
        </w:rPr>
        <w:t>更重要的是，项目没有把协作复核视为天然正确的“第二意见”，而是通过受控触发和显式授权来约束其作用边界。只有当直接路由结果表现出低置信、高风险或明显冲突时，系统才启动复核；只有当复核证据满足既定授权条件时，最终结果才允许被改判。这样做的直接效果，是把“是否复核”和“是否改判”拆成两个独立问题，使项目能够在实验中区分协作覆盖率、协作证据质量和最终净纠错效果，避免把所有收益模糊归因于“多几个智能体参与”。</w:t>
      </w:r>
    </w:p>
    <w:p>
      <w:pPr>
        <w:spacing w:before="120" w:after="80"/>
      </w:pPr>
      <w:r>
        <w:rPr>
          <w:rFonts w:ascii="Times New Roman" w:hAnsi="Times New Roman" w:eastAsia="黑体"/>
          <w:b/>
          <w:sz w:val="24"/>
        </w:rPr>
        <w:t>（五）可信认知标识与统一过程记录</w:t>
      </w:r>
    </w:p>
    <w:p>
      <w:pPr>
        <w:spacing w:line="360" w:lineRule="auto" w:after="0"/>
        <w:ind w:firstLine="476"/>
      </w:pPr>
      <w:r>
        <w:rPr>
          <w:rFonts w:ascii="Times New Roman" w:hAnsi="Times New Roman" w:eastAsia="宋体"/>
          <w:b w:val="0"/>
          <w:sz w:val="24"/>
        </w:rPr>
        <w:t>为了支撑可信认知标识相关研究目标，项目把结构化过程记录作为贯穿全链路的重要组成部分。系统对候选快照、规则快路径结果、单智能体语义摘要、协作角色提案、控制器授权判断、最终语义路由结果和执行落点解析结果进行统一落盘，形成可回放、可审计、可复核的过程轨迹。这样一来，研究人员不仅可以观察最终准确率，还可以逐条分析复杂样本在何处发生分歧、由哪类证据推动改判、哪些角色的判断贡献最大。</w:t>
      </w:r>
    </w:p>
    <w:p>
      <w:pPr>
        <w:spacing w:line="360" w:lineRule="auto" w:after="0"/>
        <w:ind w:firstLine="476"/>
      </w:pPr>
      <w:r>
        <w:rPr>
          <w:rFonts w:ascii="Times New Roman" w:hAnsi="Times New Roman" w:eastAsia="宋体"/>
          <w:b w:val="0"/>
          <w:sz w:val="24"/>
        </w:rPr>
        <w:t>从研究价值看，统一过程记录至少带来三个方面收益。第一，它使结果解释不再停留在事后概述，而能够回到具体决策链路。第二，它让错误分析从“结果错了”细化为“召回错了、候选内比较错了、还是授权控制错了”，有助于后续有针对性的改进。第三，它使可信认知标识不再停留于抽象概念，而能够通过结构化记录落到可操作、可核验、可复用的工程载体上。</w:t>
      </w:r>
    </w:p>
    <w:p>
      <w:pPr>
        <w:spacing w:before="120" w:after="80"/>
      </w:pPr>
      <w:r>
        <w:rPr>
          <w:rFonts w:ascii="Times New Roman" w:hAnsi="Times New Roman" w:eastAsia="黑体"/>
          <w:b/>
          <w:sz w:val="24"/>
        </w:rPr>
        <w:t>（六）执行落点解析与原型系统联动</w:t>
      </w:r>
    </w:p>
    <w:p>
      <w:pPr>
        <w:spacing w:line="360" w:lineRule="auto" w:after="0"/>
        <w:ind w:firstLine="476"/>
      </w:pPr>
      <w:r>
        <w:rPr>
          <w:rFonts w:ascii="Times New Roman" w:hAnsi="Times New Roman" w:eastAsia="宋体"/>
          <w:b w:val="0"/>
          <w:sz w:val="24"/>
        </w:rPr>
        <w:t>在完成能力层语义路由之后，项目还对执行落点解析进行了原型化设计。研究的重点并不在于另行引入一套开放式执行生成，而是坚持“语义路由决定做什么，执行解析决定由谁来做”的原则，在主能力地址既定的前提下，对实例集合进行结构化筛选与排序。这一设计既避免了执行层反向篡改上游语义结论，也使能力地址与实例发现之间形成相对清晰的边界。</w:t>
      </w:r>
    </w:p>
    <w:p>
      <w:pPr>
        <w:spacing w:line="360" w:lineRule="auto" w:after="0"/>
        <w:ind w:firstLine="476"/>
      </w:pPr>
      <w:r>
        <w:rPr>
          <w:rFonts w:ascii="Times New Roman" w:hAnsi="Times New Roman" w:eastAsia="宋体"/>
          <w:b w:val="0"/>
          <w:sz w:val="24"/>
        </w:rPr>
        <w:t>在原型系统层面，项目实现了从自然语言请求输入、候选组织、结构化裁决、协作复核、结果展示到执行落点衔接的全过程联动能力。该原型既可以作为研究验证环境，用于分析不同方法对准确率和稳定性的影响，也可以作为成果展示平台，用于演示智能体命名、语义路由和可信留痕在互联网基础资源场景中的结合方式。</w:t>
      </w:r>
    </w:p>
    <w:p>
      <w:pPr>
        <w:spacing w:before="160" w:after="80"/>
      </w:pPr>
      <w:r>
        <w:rPr>
          <w:rFonts w:ascii="Times New Roman" w:hAnsi="Times New Roman" w:eastAsia="黑体"/>
          <w:b/>
          <w:sz w:val="28"/>
        </w:rPr>
        <w:t>四、研究创新点</w:t>
      </w:r>
    </w:p>
    <w:p>
      <w:pPr>
        <w:spacing w:before="120" w:after="80"/>
      </w:pPr>
      <w:r>
        <w:rPr>
          <w:rFonts w:ascii="Times New Roman" w:hAnsi="Times New Roman" w:eastAsia="黑体"/>
          <w:b/>
          <w:sz w:val="24"/>
        </w:rPr>
        <w:t>（一）把研究问题收敛为受限候选边界内的高可信语义路由</w:t>
      </w:r>
    </w:p>
    <w:p>
      <w:pPr>
        <w:spacing w:line="360" w:lineRule="auto" w:after="0"/>
        <w:ind w:firstLine="476"/>
      </w:pPr>
      <w:r>
        <w:rPr>
          <w:rFonts w:ascii="Times New Roman" w:hAnsi="Times New Roman" w:eastAsia="宋体"/>
          <w:b w:val="0"/>
          <w:sz w:val="24"/>
        </w:rPr>
        <w:t>项目的第一项创新，在于没有把问题泛化为“让大模型给出一个最好答案”，而是把它清晰界定为受限能力命名空间中的高可信语义路由问题。通过这一收敛，项目把主能力判断、相关能力识别和执行落点衔接统一到同一问题框架之中，使研究结论更贴近互联网基础资源场景中的真实约束条件。这种问题定义方式，有助于把方法比较、错误定位和工程部署放在同一个边界内讨论。</w:t>
      </w:r>
    </w:p>
    <w:p>
      <w:pPr>
        <w:spacing w:before="120" w:after="80"/>
      </w:pPr>
      <w:r>
        <w:rPr>
          <w:rFonts w:ascii="Times New Roman" w:hAnsi="Times New Roman" w:eastAsia="黑体"/>
          <w:b/>
          <w:sz w:val="24"/>
        </w:rPr>
        <w:t>（二）以结构化语义判别替代自由文本式候选裁决</w:t>
      </w:r>
    </w:p>
    <w:p>
      <w:pPr>
        <w:spacing w:line="360" w:lineRule="auto" w:after="0"/>
        <w:ind w:firstLine="476"/>
      </w:pPr>
      <w:r>
        <w:rPr>
          <w:rFonts w:ascii="Times New Roman" w:hAnsi="Times New Roman" w:eastAsia="宋体"/>
          <w:b w:val="0"/>
          <w:sz w:val="24"/>
        </w:rPr>
        <w:t>项目的第二项创新，在于提出了面向候选内稳定比较的结构化语义判别机制。该机制把语义判断从笼统、难以复核的自由文本输出，转变为包含主能力、相关能力、不确定性摘要和竞争候选说明的结构化证据包，使模型输出既服务于当前路由决策，也服务于后续复核和审计分析。实验结果表明，项目的主要性能台阶正是由这一机制带来，说明在固定候选边界内建立更强的结构化比较能力，是提升语义路由质量的关键所在。</w:t>
      </w:r>
    </w:p>
    <w:p>
      <w:pPr>
        <w:spacing w:before="120" w:after="80"/>
      </w:pPr>
      <w:r>
        <w:rPr>
          <w:rFonts w:ascii="Times New Roman" w:hAnsi="Times New Roman" w:eastAsia="黑体"/>
          <w:b/>
          <w:sz w:val="24"/>
        </w:rPr>
        <w:t>（三）提出职责化协作复核与显式授权结合的复杂样本修正机制</w:t>
      </w:r>
    </w:p>
    <w:p>
      <w:pPr>
        <w:spacing w:line="360" w:lineRule="auto" w:after="0"/>
        <w:ind w:firstLine="476"/>
      </w:pPr>
      <w:r>
        <w:rPr>
          <w:rFonts w:ascii="Times New Roman" w:hAnsi="Times New Roman" w:eastAsia="宋体"/>
          <w:b w:val="0"/>
          <w:sz w:val="24"/>
        </w:rPr>
        <w:t>项目的第三项创新，在于把多智能体协作复核从泛化讨论方式转化为职责化、条件化、受控化的复杂样本修正机制。项目没有假设“多智能体数量越多越好”，而是强调职责分工、语义交接质量和改判授权规则的协同作用。通过把协作触发与改判授权解耦，项目能够更精确地分析协作何时有效、何时应保持保守，并把收益控制在复杂边界样本等高价值场景中。</w:t>
      </w:r>
    </w:p>
    <w:p>
      <w:pPr>
        <w:spacing w:before="120" w:after="80"/>
      </w:pPr>
      <w:r>
        <w:rPr>
          <w:rFonts w:ascii="Times New Roman" w:hAnsi="Times New Roman" w:eastAsia="黑体"/>
          <w:b/>
          <w:sz w:val="24"/>
        </w:rPr>
        <w:t>（四）形成面向可信认知标识的统一过程记录体系</w:t>
      </w:r>
    </w:p>
    <w:p>
      <w:pPr>
        <w:spacing w:line="360" w:lineRule="auto" w:after="0"/>
        <w:ind w:firstLine="476"/>
      </w:pPr>
      <w:r>
        <w:rPr>
          <w:rFonts w:ascii="Times New Roman" w:hAnsi="Times New Roman" w:eastAsia="宋体"/>
          <w:b w:val="0"/>
          <w:sz w:val="24"/>
        </w:rPr>
        <w:t>项目的第四项创新，在于把可信认知标识落实为统一过程记录体系，而不是停留在抽象概念层面。通过对候选、判断、复核、授权和执行等关键节点进行结构化记录，项目把多智能体协作中的证据链、责任链和决策链沉淀下来，形成了可解释、可回放、可核验的技术基础。这为后续构建可审计、可治理、可迁移的智能体服务系统提供了重要方法积累。</w:t>
      </w:r>
    </w:p>
    <w:p>
      <w:pPr>
        <w:spacing w:before="120" w:after="80"/>
      </w:pPr>
      <w:r>
        <w:rPr>
          <w:rFonts w:ascii="Times New Roman" w:hAnsi="Times New Roman" w:eastAsia="黑体"/>
          <w:b/>
          <w:sz w:val="24"/>
        </w:rPr>
        <w:t>（五）构建面向互联网基础资源场景的命名、路由与执行一体化原型</w:t>
      </w:r>
    </w:p>
    <w:p>
      <w:pPr>
        <w:spacing w:line="360" w:lineRule="auto" w:after="0"/>
        <w:ind w:firstLine="476"/>
      </w:pPr>
      <w:r>
        <w:rPr>
          <w:rFonts w:ascii="Times New Roman" w:hAnsi="Times New Roman" w:eastAsia="宋体"/>
          <w:b w:val="0"/>
          <w:sz w:val="24"/>
        </w:rPr>
        <w:t>项目的第五项创新，在于不是孤立完成某一个算法点，而是围绕互联网基础资源场景构建了命名、路由、复核、留痕和执行衔接一体化原型。该原型既能支撑论文和技术报告中的方法验证，也能为成果展示、业务交流、后续拓展和潜在转化提供可视化基础。相较于仅有离线实验结论的研究工作，这种原型化组织方式更有利于把研究成果转化为可展示、可复盘、可延展的阶段性成果体系。</w:t>
      </w:r>
    </w:p>
    <w:p>
      <w:pPr>
        <w:spacing w:before="160" w:after="80"/>
      </w:pPr>
      <w:r>
        <w:rPr>
          <w:rFonts w:ascii="Times New Roman" w:hAnsi="Times New Roman" w:eastAsia="黑体"/>
          <w:b/>
          <w:sz w:val="28"/>
        </w:rPr>
        <w:t>五、实验验证与结果分析</w:t>
      </w:r>
    </w:p>
    <w:p>
      <w:pPr>
        <w:spacing w:before="120" w:after="80"/>
      </w:pPr>
      <w:r>
        <w:rPr>
          <w:rFonts w:ascii="Times New Roman" w:hAnsi="Times New Roman" w:eastAsia="黑体"/>
          <w:b/>
          <w:sz w:val="24"/>
        </w:rPr>
        <w:t>（一）构建统一冻结评测资产，保证主结论口径一致</w:t>
      </w:r>
    </w:p>
    <w:p>
      <w:pPr>
        <w:spacing w:line="360" w:lineRule="auto" w:after="0"/>
        <w:ind w:firstLine="476"/>
      </w:pPr>
      <w:r>
        <w:rPr>
          <w:rFonts w:ascii="Times New Roman" w:hAnsi="Times New Roman" w:eastAsia="宋体"/>
          <w:b w:val="0"/>
          <w:sz w:val="24"/>
        </w:rPr>
        <w:t>围绕智能体命名与语义路由任务，项目整理形成了总计 563 条样本的数据资产，并冻结划分为训练集 450 条、测试集 113 条。该评测集对应 50 个节点组成的受限能力命名空间，覆盖 45 类主标签；测试集中包含 38 条带相关能力标注的样本，占比 33.63%，同时保留多意图样本 12 条、高风险样本 4 条，用于检验方法在复杂边界情形下的稳定性。项目把统一的训练/测试协议作为主结果口径，训练集主要用于方案开发和配置确定，测试集用于一次性报告核心结论。这种做法避免了把多个彼此不可比的小样本集并列展示，从而增强了结果的统一性和可解释性。</w:t>
      </w:r>
    </w:p>
    <w:p>
      <w:pPr>
        <w:spacing w:line="360" w:lineRule="auto" w:after="0"/>
        <w:ind w:firstLine="476"/>
      </w:pPr>
      <w:r>
        <w:rPr>
          <w:rFonts w:ascii="Times New Roman" w:hAnsi="Times New Roman" w:eastAsia="宋体"/>
          <w:b w:val="0"/>
          <w:sz w:val="24"/>
        </w:rPr>
        <w:t>从方法研究角度看，统一冻结协议的重要性在于，它能够让项目明确回答“主要性能提升来自哪个阶段”“协作增益是否稳定”“复杂样本收益出现在哪里”等问题，而不是简单罗列不同样本池上的分散结果。因此，项目在汇报成果时坚持将统一测试集结论作为主结论，把扩展配置结果、对齐子集消融、后验诊断和累计样本池稳定性分析作为补充证据，用于解释收益来源和适用边界。最新论文补充的累计稳定性分析显示，测试划分累计到 73、93 和 113 条样本时，结构化语义路由、默认协作复核和扩展配置的相对排序保持稳定，说明新增样本主要扩展了任务覆盖和边界复杂度，并未改变核心方法相对规则基线的优势关系。</w:t>
      </w:r>
    </w:p>
    <w:p>
      <w:pPr>
        <w:spacing w:before="120" w:after="80"/>
      </w:pPr>
      <w:r>
        <w:rPr>
          <w:rFonts w:ascii="Times New Roman" w:hAnsi="Times New Roman" w:eastAsia="黑体"/>
          <w:b/>
          <w:sz w:val="24"/>
        </w:rPr>
        <w:t>（二）主结果表明结构化语义判别形成了最主要性能台阶</w:t>
      </w:r>
    </w:p>
    <w:p>
      <w:pPr>
        <w:spacing w:line="360" w:lineRule="auto" w:after="0"/>
        <w:ind w:firstLine="476"/>
      </w:pPr>
      <w:r>
        <w:rPr>
          <w:rFonts w:ascii="Times New Roman" w:hAnsi="Times New Roman" w:eastAsia="宋体"/>
          <w:b w:val="0"/>
          <w:sz w:val="24"/>
        </w:rPr>
        <w:t>在统一冻结测试集上，规则路由基线的主标签准确率为 78.76%，可接受准确率为 81.42%。引入单智能体结构化语义路由后，主标签准确率提升至 87.61%，可接受准确率提升至 90.27%。如果在此基础上再加入默认协作复核，主标签准确率进一步提升到 88.50%，可接受准确率达到 91.15%，且未引入误改。由此可见，项目方法的主要增益首先来自结构化语义判别阶段，其后协作复核在默认配置下带来的是小幅但稳健的补充纠错。</w:t>
      </w:r>
    </w:p>
    <w:p>
      <w:pPr>
        <w:spacing w:line="360" w:lineRule="auto" w:after="0"/>
        <w:ind w:firstLine="476"/>
      </w:pPr>
      <w:r>
        <w:rPr>
          <w:rFonts w:ascii="Times New Roman" w:hAnsi="Times New Roman" w:eastAsia="宋体"/>
          <w:b w:val="0"/>
          <w:sz w:val="24"/>
        </w:rPr>
        <w:t>这一结果说明，面对互联网基础资源场景中的复杂请求，真正决定系统上限的关键不在于是否再多加入一次复核，而在于候选集合内部是否建立了足够强的语义比较能力。只有当主任务命中、层级粒度、风险边界和竞争候选差异被明确表达出来时，系统才能在复杂场景中形成稳定、可复核的判断基础。这也是项目把结构化语义判别视为主增益来源的重要原因。</w:t>
      </w:r>
    </w:p>
    <w:p>
      <w:pPr>
        <w:spacing w:before="120" w:after="80"/>
      </w:pPr>
      <w:r>
        <w:rPr>
          <w:rFonts w:ascii="Times New Roman" w:hAnsi="Times New Roman" w:eastAsia="黑体"/>
          <w:b/>
          <w:sz w:val="24"/>
        </w:rPr>
        <w:t>（三）相关能力识别能力同步增强，说明方法并非只优化单一主标签</w:t>
      </w:r>
    </w:p>
    <w:p>
      <w:pPr>
        <w:spacing w:line="360" w:lineRule="auto" w:after="0"/>
        <w:ind w:firstLine="476"/>
      </w:pPr>
      <w:r>
        <w:rPr>
          <w:rFonts w:ascii="Times New Roman" w:hAnsi="Times New Roman" w:eastAsia="宋体"/>
          <w:b w:val="0"/>
          <w:sz w:val="24"/>
        </w:rPr>
        <w:t>在相关能力识别方面，项目方法同样表现出明显提升。测试集相关能力召回率由规则基线的 28.95% 提升到结构化语义路由阶段的 36.84%，相关能力精确率由 37.93% 提升到 42.42%。这说明，项目方法不仅提升了主能力判断准确率，也增强了对辅助能力、关联能力和次要诉求的识别能力。</w:t>
      </w:r>
    </w:p>
    <w:p>
      <w:pPr>
        <w:spacing w:line="360" w:lineRule="auto" w:after="0"/>
        <w:ind w:firstLine="476"/>
      </w:pPr>
      <w:r>
        <w:rPr>
          <w:rFonts w:ascii="Times New Roman" w:hAnsi="Times New Roman" w:eastAsia="宋体"/>
          <w:b w:val="0"/>
          <w:sz w:val="24"/>
        </w:rPr>
        <w:t>这一结果具有实际意义。互联网基础资源场景中的很多请求并不是单一、纯净、孤立的意图表达，而是包含主任务、配套条件和上下文信息的组合语义。如果系统只能给出单一主标签，却无法识别与之相关的能力集合，那么后续服务组织和执行链路仍然会受到限制。项目在相关能力识别上的改进，说明其方法更接近真实任务结构，而不是停留在简化版分类问题上。</w:t>
      </w:r>
    </w:p>
    <w:p>
      <w:pPr>
        <w:spacing w:before="120" w:after="80"/>
      </w:pPr>
      <w:r>
        <w:rPr>
          <w:rFonts w:ascii="Times New Roman" w:hAnsi="Times New Roman" w:eastAsia="黑体"/>
          <w:b/>
          <w:sz w:val="24"/>
        </w:rPr>
        <w:t>（四）职责化协作复核在复杂样本上形成了可观净修正收益</w:t>
      </w:r>
    </w:p>
    <w:p>
      <w:pPr>
        <w:spacing w:line="360" w:lineRule="auto" w:after="0"/>
        <w:ind w:firstLine="476"/>
      </w:pPr>
      <w:r>
        <w:rPr>
          <w:rFonts w:ascii="Times New Roman" w:hAnsi="Times New Roman" w:eastAsia="宋体"/>
          <w:b w:val="0"/>
          <w:sz w:val="24"/>
        </w:rPr>
        <w:t>项目进一步比较了不同协作决策配置在统一测试集上的表现。结果显示，在训练集上确定并冻结的扩展协作配置下，同一测试集上的一次性结果达到 92.92%，较默认配置提升 4.42 个百分点，并实现 5 次改判均转化为有效纠错、没有引入误改的结果。这表明，当复杂样本能够被更充分送入协作链路，且改判授权边界控制得当时，多智能体职责化协作可以带来明显的净收益。</w:t>
      </w:r>
    </w:p>
    <w:p>
      <w:pPr>
        <w:spacing w:line="360" w:lineRule="auto" w:after="0"/>
        <w:ind w:firstLine="476"/>
      </w:pPr>
      <w:r>
        <w:rPr>
          <w:rFonts w:ascii="Times New Roman" w:hAnsi="Times New Roman" w:eastAsia="宋体"/>
          <w:b w:val="0"/>
          <w:sz w:val="24"/>
        </w:rPr>
        <w:t>项目还在配对消融样本集上进行了协作协议消融比较，其中训练侧样本 320 条、测试侧样本 80 条，覆盖常规快路、层级竞争、主次意图拆分、跨域重叠和高风险治理等场景。结果表明，单角色复核和同质复核并不会天然带来收益；在训练侧，职责化协作复核取得 91.87% 的准确率，并形成 13/13/0 的“改判/纠错/误改”结果；在测试侧，单角色复核和同质复核准确率仍停留在 86.25%，而职责化协作复核在扩展配置下提升到 92.50%，增量达到 6.25 个百分点，并形成 5/5/0 的“改判/纠错/误改”结果。这个结论非常关键，它说明收益并不是“只要增加复核流程就会出现”，而是来自职责分工、结构化证据和改判控制三者的共同作用。</w:t>
      </w:r>
    </w:p>
    <w:p>
      <w:pPr>
        <w:spacing w:before="120" w:after="80"/>
      </w:pPr>
      <w:r>
        <w:rPr>
          <w:rFonts w:ascii="Times New Roman" w:hAnsi="Times New Roman" w:eastAsia="黑体"/>
          <w:b/>
          <w:sz w:val="24"/>
        </w:rPr>
        <w:t>（五）后验诊断和复杂度代理进一步揭示了收益边界</w:t>
      </w:r>
    </w:p>
    <w:p>
      <w:pPr>
        <w:spacing w:line="360" w:lineRule="auto" w:after="0"/>
        <w:ind w:firstLine="476"/>
      </w:pPr>
      <w:r>
        <w:rPr>
          <w:rFonts w:ascii="Times New Roman" w:hAnsi="Times New Roman" w:eastAsia="宋体"/>
          <w:b w:val="0"/>
          <w:sz w:val="24"/>
        </w:rPr>
        <w:t>为了理解收益分布，项目对不同类型样本进行了后验诊断分析。结果显示，在常规样本池上，结构化语义判别已经达到 91.43%，协作复核未再带来额外增益；在困难边界样本池上，系统由 62.50% 提升到 66.67%；在扩展观察样本池上，系统由 88.89% 提升到 90.74%。这说明，协作收益并非平均分布，而是更集中出现在语义重叠更强、层级冲突更明显或意图更混杂的样本池上。</w:t>
      </w:r>
    </w:p>
    <w:p>
      <w:pPr>
        <w:spacing w:line="360" w:lineRule="auto" w:after="0"/>
        <w:ind w:firstLine="476"/>
      </w:pPr>
      <w:r>
        <w:rPr>
          <w:rFonts w:ascii="Times New Roman" w:hAnsi="Times New Roman" w:eastAsia="宋体"/>
          <w:b w:val="0"/>
          <w:sz w:val="24"/>
        </w:rPr>
        <w:t>项目还对默认配置下的执行负载进行了代理分析。测试集中约 44.25% 的样本会进入协作复核，进入协作的样本中只有约 18.00% 会触发第二轮复核；按调用当量估算，每个请求平均额外增加 2.09 次协作角色调用，总调用当量约为 3.09 次。这说明项目方法并没有把全部请求都送入高成本协作链路，而是在保持复核覆盖受控的前提下，把协作预算集中用于更可能产生净修正收益的样本。</w:t>
      </w:r>
    </w:p>
    <w:p>
      <w:pPr>
        <w:spacing w:before="120" w:after="80"/>
      </w:pPr>
      <w:r>
        <w:rPr>
          <w:rFonts w:ascii="Times New Roman" w:hAnsi="Times New Roman" w:eastAsia="黑体"/>
          <w:b/>
          <w:sz w:val="24"/>
        </w:rPr>
        <w:t>（六）实验结论形成了较为稳健的研究认识</w:t>
      </w:r>
    </w:p>
    <w:p>
      <w:pPr>
        <w:spacing w:line="360" w:lineRule="auto" w:after="0"/>
        <w:ind w:firstLine="476"/>
      </w:pPr>
      <w:r>
        <w:rPr>
          <w:rFonts w:ascii="Times New Roman" w:hAnsi="Times New Roman" w:eastAsia="宋体"/>
          <w:b w:val="0"/>
          <w:sz w:val="24"/>
        </w:rPr>
        <w:t>综合主结果、扩展配置、协议消融、后验诊断和复杂度代理分析，项目形成了一个较为稳健的结论：对于互联网基础资源场景下的高可信语义路由，主要性能台阶来自固定候选边界内的结构化语义判别；多智能体协作复核并非普遍适用的统一慢路径，而是只有在职责化证据、触发条件和改判授权相互对齐时，才会在复杂样本上稳定形成净收益。这一结论既体现了项目在方法上的研究价值，也为后续构建可部署、可审计的语义路由系统提供了更清晰的设计原则。</w:t>
      </w:r>
    </w:p>
    <w:p>
      <w:pPr>
        <w:spacing w:before="160" w:after="80"/>
      </w:pPr>
      <w:r>
        <w:rPr>
          <w:rFonts w:ascii="Times New Roman" w:hAnsi="Times New Roman" w:eastAsia="黑体"/>
          <w:b/>
          <w:sz w:val="28"/>
        </w:rPr>
        <w:t>六、阶段性成果与产出体系</w:t>
      </w:r>
    </w:p>
    <w:p>
      <w:pPr>
        <w:spacing w:before="120" w:after="80"/>
      </w:pPr>
      <w:r>
        <w:rPr>
          <w:rFonts w:ascii="Times New Roman" w:hAnsi="Times New Roman" w:eastAsia="黑体"/>
          <w:b/>
          <w:sz w:val="24"/>
        </w:rPr>
        <w:t>（一）形成了可运行的原型系统和配套数据资产</w:t>
      </w:r>
    </w:p>
    <w:p>
      <w:pPr>
        <w:spacing w:line="360" w:lineRule="auto" w:after="0"/>
        <w:ind w:firstLine="476"/>
      </w:pPr>
      <w:r>
        <w:rPr>
          <w:rFonts w:ascii="Times New Roman" w:hAnsi="Times New Roman" w:eastAsia="宋体"/>
          <w:b w:val="0"/>
          <w:sz w:val="24"/>
        </w:rPr>
        <w:t>围绕项目典型场景，团队已经形成面向智能体命名与语义路由的原型系统，覆盖自然语言请求输入、候选组织、结构化裁决、协作复核、结果展示和执行落点衔接等关键环节。该原型不仅能够支持典型业务场景演示，也能够作为研究验证平台，对不同配置、不同样本池和不同协作协议进行复现实验与误差分析。</w:t>
      </w:r>
    </w:p>
    <w:p>
      <w:pPr>
        <w:spacing w:line="360" w:lineRule="auto" w:after="0"/>
        <w:ind w:firstLine="476"/>
      </w:pPr>
      <w:r>
        <w:rPr>
          <w:rFonts w:ascii="Times New Roman" w:hAnsi="Times New Roman" w:eastAsia="宋体"/>
          <w:b w:val="0"/>
          <w:sz w:val="24"/>
        </w:rPr>
        <w:t>同时，项目还沉淀了较为系统的数据资产和过程记录材料，包括统一命名空间描述文件、正式样本数据、冻结训练/测试划分、结构化过程轨迹、实验汇总结果和图表数据等。这些资产为后续扩展研究、独立复核、论文撰写和成果转化提供了可持续的基础。</w:t>
      </w:r>
    </w:p>
    <w:p>
      <w:pPr>
        <w:spacing w:before="120" w:after="80"/>
      </w:pPr>
      <w:r>
        <w:rPr>
          <w:rFonts w:ascii="Times New Roman" w:hAnsi="Times New Roman" w:eastAsia="黑体"/>
          <w:b/>
          <w:sz w:val="24"/>
        </w:rPr>
        <w:t>（二）形成了研究报告、论文材料和图表成果</w:t>
      </w:r>
    </w:p>
    <w:p>
      <w:pPr>
        <w:spacing w:line="360" w:lineRule="auto" w:after="0"/>
        <w:ind w:firstLine="476"/>
      </w:pPr>
      <w:r>
        <w:rPr>
          <w:rFonts w:ascii="Times New Roman" w:hAnsi="Times New Roman" w:eastAsia="宋体"/>
          <w:b w:val="0"/>
          <w:sz w:val="24"/>
        </w:rPr>
        <w:t>依托上述方法和实验结果，项目已形成技术研究报告、论文投稿稿、图表材料和相关附属说明文档。现有论文和技术报告对问题定义、方法设计、实验协议、主结果、协作收益来源和系统局限性进行了较系统总结；配套图表则对统一主结果、配置比较、协作消融、后验诊断和执行负载代理进行了直观展示。通过这些文档，项目已具备较为完整的学术表达和成果沉淀能力。</w:t>
      </w:r>
    </w:p>
    <w:p>
      <w:pPr>
        <w:spacing w:line="360" w:lineRule="auto" w:after="0"/>
        <w:ind w:firstLine="476"/>
      </w:pPr>
      <w:r>
        <w:rPr>
          <w:rFonts w:ascii="Times New Roman" w:hAnsi="Times New Roman" w:eastAsia="宋体"/>
          <w:b w:val="0"/>
          <w:sz w:val="24"/>
        </w:rPr>
        <w:t>更重要的是，现有论文材料并非与项目目标脱节，而是直接服务于项目成果凝练。论文中形成的统一问题定义、核心方法框架、实验协议和结果分析，已经成为本次成果汇编的重要内容来源，也说明项目从一开始就把“研究验证”“成果写作”“对外表达”和“后续转化”作为一体化工作来推进。</w:t>
      </w:r>
    </w:p>
    <w:p>
      <w:pPr>
        <w:spacing w:before="120" w:after="80"/>
      </w:pPr>
      <w:r>
        <w:rPr>
          <w:rFonts w:ascii="Times New Roman" w:hAnsi="Times New Roman" w:eastAsia="黑体"/>
          <w:b/>
          <w:sz w:val="24"/>
        </w:rPr>
        <w:t>（三）形成了专利申请和技术交底相关材料</w:t>
      </w:r>
    </w:p>
    <w:p>
      <w:pPr>
        <w:spacing w:line="360" w:lineRule="auto" w:after="0"/>
        <w:ind w:firstLine="476"/>
      </w:pPr>
      <w:r>
        <w:rPr>
          <w:rFonts w:ascii="Times New Roman" w:hAnsi="Times New Roman" w:eastAsia="宋体"/>
          <w:b w:val="0"/>
          <w:sz w:val="24"/>
        </w:rPr>
        <w:t>围绕项目形成的关键机制与原型框架，团队已同步形成发明专利申请材料、技术交底书、权利要求书初稿、说明书摘要初稿和附图等一系列知识产权文档。这些材料从能力命名、结构化语义路由、协作复核和过程留痕等角度，对项目的核心创新进行了系统凝练，为后续知识产权保护和成果转化奠定了文书基础。</w:t>
      </w:r>
    </w:p>
    <w:p>
      <w:pPr>
        <w:spacing w:line="360" w:lineRule="auto" w:after="0"/>
        <w:ind w:firstLine="476"/>
      </w:pPr>
      <w:r>
        <w:rPr>
          <w:rFonts w:ascii="Times New Roman" w:hAnsi="Times New Roman" w:eastAsia="宋体"/>
          <w:b w:val="0"/>
          <w:sz w:val="24"/>
        </w:rPr>
        <w:t>按照成果汇编要求，本文不附上述专利和交底材料原文，但从阶段产出角度看，项目已完成从方法研究到专利凝练的衔接工作，体现出较强的研究成果沉淀能力和持续转化能力。</w:t>
      </w:r>
    </w:p>
    <w:p>
      <w:pPr>
        <w:spacing w:before="120" w:after="80"/>
      </w:pPr>
      <w:r>
        <w:rPr>
          <w:rFonts w:ascii="Times New Roman" w:hAnsi="Times New Roman" w:eastAsia="黑体"/>
          <w:b/>
          <w:sz w:val="24"/>
        </w:rPr>
        <w:t>（四）形成了宣传展示和成果报送支撑材料</w:t>
      </w:r>
    </w:p>
    <w:p>
      <w:pPr>
        <w:spacing w:line="360" w:lineRule="auto" w:after="0"/>
        <w:ind w:firstLine="476"/>
      </w:pPr>
      <w:r>
        <w:rPr>
          <w:rFonts w:ascii="Times New Roman" w:hAnsi="Times New Roman" w:eastAsia="宋体"/>
          <w:b w:val="0"/>
          <w:sz w:val="24"/>
        </w:rPr>
        <w:t>除研究报告和专利材料外，项目还形成了成果宣传稿、安全公开版宣传稿、审批版宣传稿、图示预览、附图优化稿和其他展示支撑材料。这些成果说明项目已经对“学术表达”“内部报送”“对外宣传”和“图形展示”等不同使用场景进行了区分处理，能够根据不同口径控制披露范围和表达重心。</w:t>
      </w:r>
    </w:p>
    <w:p>
      <w:pPr>
        <w:spacing w:line="360" w:lineRule="auto" w:after="0"/>
        <w:ind w:firstLine="476"/>
      </w:pPr>
      <w:r>
        <w:rPr>
          <w:rFonts w:ascii="Times New Roman" w:hAnsi="Times New Roman" w:eastAsia="宋体"/>
          <w:b w:val="0"/>
          <w:sz w:val="24"/>
        </w:rPr>
        <w:t>从成果组织角度看，这种多版本文档体系非常重要。它说明项目不仅重视技术本身，也重视成果的制度化表达和可复用传播路径，能够根据审阅对象和发布渠道，形成安全、准确、可裁剪的材料体系。</w:t>
      </w:r>
    </w:p>
    <w:p>
      <w:pPr>
        <w:spacing w:before="120" w:after="80"/>
      </w:pPr>
      <w:r>
        <w:rPr>
          <w:rFonts w:ascii="Times New Roman" w:hAnsi="Times New Roman" w:eastAsia="黑体"/>
          <w:b/>
          <w:sz w:val="24"/>
        </w:rPr>
        <w:t>（五）与任务书考核指标形成了较好对应关系</w:t>
      </w:r>
    </w:p>
    <w:p>
      <w:pPr>
        <w:spacing w:line="360" w:lineRule="auto" w:after="0"/>
        <w:ind w:firstLine="476"/>
      </w:pPr>
      <w:r>
        <w:rPr>
          <w:rFonts w:ascii="Times New Roman" w:hAnsi="Times New Roman" w:eastAsia="宋体"/>
          <w:b w:val="0"/>
          <w:sz w:val="24"/>
        </w:rPr>
        <w:t>对照项目任务书，项目当前形成的阶段性成果与考核指标之间具有较高匹配度。一是在原型系统方面，项目已形成可运行的多智能体协作语义路由原型框架，具备结构化裁决、协作复核、过程记录和结果展示能力。二是在成果凝练方面，项目已形成研究报告和论文材料，并同步推进专利申请文档整理。三是在展示支撑方面，项目已形成宣传稿、图示和演示支撑材料，可用于内部汇报和阶段成果展示。四是在数据与实验方面，项目已完成多轮评测和对比分析，为结项验收提供了较充分的实证依据。</w:t>
      </w:r>
    </w:p>
    <w:p>
      <w:pPr>
        <w:spacing w:before="160" w:after="80"/>
      </w:pPr>
      <w:r>
        <w:rPr>
          <w:rFonts w:ascii="Times New Roman" w:hAnsi="Times New Roman" w:eastAsia="黑体"/>
          <w:b/>
          <w:sz w:val="28"/>
        </w:rPr>
        <w:t>七、应用价值与推广前景</w:t>
      </w:r>
    </w:p>
    <w:p>
      <w:pPr>
        <w:spacing w:before="120" w:after="80"/>
      </w:pPr>
      <w:r>
        <w:rPr>
          <w:rFonts w:ascii="Times New Roman" w:hAnsi="Times New Roman" w:eastAsia="黑体"/>
          <w:b/>
          <w:sz w:val="24"/>
        </w:rPr>
        <w:t>（一）为互联网基础资源向智能体服务延伸提供了方法探索</w:t>
      </w:r>
    </w:p>
    <w:p>
      <w:pPr>
        <w:spacing w:line="360" w:lineRule="auto" w:after="0"/>
        <w:ind w:firstLine="476"/>
      </w:pPr>
      <w:r>
        <w:rPr>
          <w:rFonts w:ascii="Times New Roman" w:hAnsi="Times New Roman" w:eastAsia="宋体"/>
          <w:b w:val="0"/>
          <w:sz w:val="24"/>
        </w:rPr>
        <w:t>项目成果的第一层价值，在于为互联网基础资源如何支撑智能体服务组织、能力标识和语义寻址提供了具体方法探索。随着智能体服务逐渐成为网络应用的重要组成部分，传统面向静态资源的表达和组织方式需要扩展到对能力、实例和协作过程的表达。项目提出的能力命名空间、能力地址与实例地址分层表达、受限候选边界内的结构化语义路由等研究内容，为这一演进方向提供了可操作的原型基础。</w:t>
      </w:r>
    </w:p>
    <w:p>
      <w:pPr>
        <w:spacing w:before="120" w:after="80"/>
      </w:pPr>
      <w:r>
        <w:rPr>
          <w:rFonts w:ascii="Times New Roman" w:hAnsi="Times New Roman" w:eastAsia="黑体"/>
          <w:b/>
          <w:sz w:val="24"/>
        </w:rPr>
        <w:t>（二）为复杂任务下的可信调用与治理支撑提供了技术路径</w:t>
      </w:r>
    </w:p>
    <w:p>
      <w:pPr>
        <w:spacing w:line="360" w:lineRule="auto" w:after="0"/>
        <w:ind w:firstLine="476"/>
      </w:pPr>
      <w:r>
        <w:rPr>
          <w:rFonts w:ascii="Times New Roman" w:hAnsi="Times New Roman" w:eastAsia="宋体"/>
          <w:b w:val="0"/>
          <w:sz w:val="24"/>
        </w:rPr>
        <w:t>项目成果的第二层价值，在于为复杂语义任务下的可信调用和治理支撑提供了更可审计的技术路径。传统系统常常关注“能不能给出结果”，而项目更强调“结果是否稳定”“改判是否有依据”“过程是否可回放”。通过职责化协作复核、显式授权机制和统一过程记录，项目证明了复杂样本上的增益可以在有边界的前提下获得，这对于后续面向审核辅助、能力编排、服务发现、智能合规等场景的系统建设具有启发意义。</w:t>
      </w:r>
    </w:p>
    <w:p>
      <w:pPr>
        <w:spacing w:before="120" w:after="80"/>
      </w:pPr>
      <w:r>
        <w:rPr>
          <w:rFonts w:ascii="Times New Roman" w:hAnsi="Times New Roman" w:eastAsia="黑体"/>
          <w:b/>
          <w:sz w:val="24"/>
        </w:rPr>
        <w:t>（三）为后续标准化表达、平台化建设和成果转化奠定了基础</w:t>
      </w:r>
    </w:p>
    <w:p>
      <w:pPr>
        <w:spacing w:line="360" w:lineRule="auto" w:after="0"/>
        <w:ind w:firstLine="476"/>
      </w:pPr>
      <w:r>
        <w:rPr>
          <w:rFonts w:ascii="Times New Roman" w:hAnsi="Times New Roman" w:eastAsia="宋体"/>
          <w:b w:val="0"/>
          <w:sz w:val="24"/>
        </w:rPr>
        <w:t>项目成果的第三层价值，在于为后续标准化表达、平台化建设和成果转化预留了空间。能力命名、地址表达、过程留痕、统一指标和主结果口径等工作，本质上都是把原本分散、经验化的研究积累转化为更具制度化和复用性的成果单元。随着独立验证集进一步扩大、执行落点联调进一步完善、业务场景进一步拓展，这些成果有望在后续标准研究、系统建设和应用转化中发挥更大作用。</w:t>
      </w:r>
    </w:p>
    <w:p>
      <w:pPr>
        <w:spacing w:before="160" w:after="80"/>
      </w:pPr>
      <w:r>
        <w:rPr>
          <w:rFonts w:ascii="Times New Roman" w:hAnsi="Times New Roman" w:eastAsia="黑体"/>
          <w:b/>
          <w:sz w:val="28"/>
        </w:rPr>
        <w:t>八、下一步工作考虑</w:t>
      </w:r>
    </w:p>
    <w:p>
      <w:pPr>
        <w:spacing w:before="120" w:after="80"/>
      </w:pPr>
      <w:r>
        <w:rPr>
          <w:rFonts w:ascii="Times New Roman" w:hAnsi="Times New Roman" w:eastAsia="黑体"/>
          <w:b/>
          <w:sz w:val="24"/>
        </w:rPr>
        <w:t>（一）继续扩大独立验证样本和业务覆盖范围</w:t>
      </w:r>
    </w:p>
    <w:p>
      <w:pPr>
        <w:spacing w:line="360" w:lineRule="auto" w:after="0"/>
        <w:ind w:firstLine="476"/>
      </w:pPr>
      <w:r>
        <w:rPr>
          <w:rFonts w:ascii="Times New Roman" w:hAnsi="Times New Roman" w:eastAsia="宋体"/>
          <w:b w:val="0"/>
          <w:sz w:val="24"/>
        </w:rPr>
        <w:t>项目已经基于 563 条样本形成统一冻结评测资产，并通过累计样本池稳定性分析验证了当前样本规模能够支撑方法比较结论。面向更大范围应用时，仍有必要进一步补充更多来源、更广覆盖、更具独立性的验证样本。后续可围绕不同能力命名空间、不同请求来源、不同业务语义类型和不同治理风险条件扩展数据集，以进一步检验现有结论的外推性和泛化能力。</w:t>
      </w:r>
    </w:p>
    <w:p>
      <w:pPr>
        <w:spacing w:before="120" w:after="80"/>
      </w:pPr>
      <w:r>
        <w:rPr>
          <w:rFonts w:ascii="Times New Roman" w:hAnsi="Times New Roman" w:eastAsia="黑体"/>
          <w:b/>
          <w:sz w:val="24"/>
        </w:rPr>
        <w:t>（二）完善质量、成本与运行日志的统一记录</w:t>
      </w:r>
    </w:p>
    <w:p>
      <w:pPr>
        <w:spacing w:line="360" w:lineRule="auto" w:after="0"/>
        <w:ind w:firstLine="476"/>
      </w:pPr>
      <w:r>
        <w:rPr>
          <w:rFonts w:ascii="Times New Roman" w:hAnsi="Times New Roman" w:eastAsia="宋体"/>
          <w:b w:val="0"/>
          <w:sz w:val="24"/>
        </w:rPr>
        <w:t>当前项目已经通过调用复杂度代理对成本侧进行了初步刻画，但真实运行中的 token、时延、接口稳定性和资源消耗等指标仍有进一步统一记录和分析空间。后续如能把质量、成本和治理边界放到同一评测框架中，将更有利于形成面向部署场景的综合评价体系。</w:t>
      </w:r>
    </w:p>
    <w:p>
      <w:pPr>
        <w:spacing w:before="120" w:after="80"/>
      </w:pPr>
      <w:r>
        <w:rPr>
          <w:rFonts w:ascii="Times New Roman" w:hAnsi="Times New Roman" w:eastAsia="黑体"/>
          <w:b/>
          <w:sz w:val="24"/>
        </w:rPr>
        <w:t>（三）推进原型能力向更系统的成果转化方向延伸</w:t>
      </w:r>
    </w:p>
    <w:p>
      <w:pPr>
        <w:spacing w:line="360" w:lineRule="auto" w:after="0"/>
        <w:ind w:firstLine="476"/>
      </w:pPr>
      <w:r>
        <w:rPr>
          <w:rFonts w:ascii="Times New Roman" w:hAnsi="Times New Roman" w:eastAsia="宋体"/>
          <w:b w:val="0"/>
          <w:sz w:val="24"/>
        </w:rPr>
        <w:t>后续工作还可围绕原型系统进一步推进成果转化，包括继续完善执行落点联动、补充面向更多业务场景的演示流程、整理更加规范的成果报送材料，以及研究能力命名、过程留痕和协作复核在更广范围内的复用方式。总体而言，项目已经形成较完整的研究基础，下一阶段的重点将从“证明方法可行”逐步转向“扩大验证范围、增强制度化表达、支撑持续转化应用”。</w:t>
      </w:r>
    </w:p>
    <w:p>
      <w:pPr>
        <w:spacing w:before="160" w:after="80"/>
      </w:pPr>
      <w:r>
        <w:rPr>
          <w:rFonts w:ascii="Times New Roman" w:hAnsi="Times New Roman" w:eastAsia="黑体"/>
          <w:b/>
          <w:sz w:val="28"/>
        </w:rPr>
        <w:t>九、项目标签</w:t>
      </w:r>
    </w:p>
    <w:p>
      <w:pPr>
        <w:spacing w:line="360" w:lineRule="auto"/>
      </w:pPr>
      <w:r>
        <w:rPr>
          <w:rFonts w:ascii="Times New Roman" w:hAnsi="Times New Roman" w:eastAsia="宋体"/>
          <w:b w:val="0"/>
          <w:sz w:val="24"/>
        </w:rPr>
        <w:t>项目编号：暂不填写（待研究处统一编号）</w:t>
      </w:r>
    </w:p>
    <w:p>
      <w:pPr>
        <w:spacing w:line="360" w:lineRule="auto"/>
      </w:pPr>
      <w:r>
        <w:rPr>
          <w:rFonts w:ascii="Times New Roman" w:hAnsi="Times New Roman" w:eastAsia="宋体"/>
          <w:b w:val="0"/>
          <w:sz w:val="24"/>
        </w:rPr>
        <w:t>研究处所：中国互联网络信息中心技术发展所</w:t>
      </w:r>
    </w:p>
    <w:p>
      <w:pPr>
        <w:spacing w:line="360" w:lineRule="auto"/>
      </w:pPr>
      <w:r>
        <w:rPr>
          <w:rFonts w:ascii="Times New Roman" w:hAnsi="Times New Roman" w:eastAsia="宋体"/>
          <w:b w:val="0"/>
          <w:sz w:val="24"/>
        </w:rPr>
        <w:t>项目负责人：邓斯宇</w:t>
      </w:r>
    </w:p>
    <w:p>
      <w:pPr>
        <w:spacing w:line="360" w:lineRule="auto"/>
      </w:pPr>
      <w:r>
        <w:rPr>
          <w:rFonts w:ascii="Times New Roman" w:hAnsi="Times New Roman" w:eastAsia="宋体"/>
          <w:b w:val="0"/>
          <w:sz w:val="24"/>
        </w:rPr>
        <w:t>项目参与人：邓斯宇、姚健康、李真辉、殷智勇、申旭刚</w:t>
      </w:r>
    </w:p>
    <w:sectPr w:rsidR="00FC693F" w:rsidRPr="0006063C" w:rsidSect="00034616">
      <w:pgSz w:w="12240" w:h="15840"/>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