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C5F8" w14:textId="77777777" w:rsidR="00BC6DAB" w:rsidRPr="005F2168" w:rsidRDefault="00BC6DAB" w:rsidP="00BC6DAB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 xml:space="preserve">Topic 5: </w:t>
      </w:r>
      <w:r w:rsidRPr="008A24F8">
        <w:rPr>
          <w:rFonts w:ascii="Times New Roman" w:hAnsi="Times New Roman" w:cs="Times New Roman"/>
          <w:b/>
          <w:sz w:val="24"/>
          <w:szCs w:val="24"/>
        </w:rPr>
        <w:t>Implementation fidelity, adoption, and sustainability of an intervention</w:t>
      </w:r>
      <w:r>
        <w:rPr>
          <w:rFonts w:ascii="Times New Roman" w:hAnsi="Times New Roman" w:cs="Times New Roman"/>
          <w:b/>
          <w:sz w:val="24"/>
          <w:szCs w:val="24"/>
        </w:rPr>
        <w:t xml:space="preserve"> among health workers in Enugu s</w:t>
      </w:r>
      <w:r w:rsidRPr="008A24F8">
        <w:rPr>
          <w:rFonts w:ascii="Times New Roman" w:hAnsi="Times New Roman" w:cs="Times New Roman"/>
          <w:b/>
          <w:sz w:val="24"/>
          <w:szCs w:val="24"/>
        </w:rPr>
        <w:t>tate, Nigeria: application of PCI and RE-AIM frameworks</w:t>
      </w:r>
    </w:p>
    <w:p w14:paraId="0A28A7BE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Framework centered on (PCI &amp; RE-AIM):</w:t>
      </w:r>
    </w:p>
    <w:p w14:paraId="54B7E62F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 xml:space="preserve">This objective is fundamentally anchored in the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RE-AIM Framework</w:t>
      </w:r>
      <w:r w:rsidRPr="005F2168">
        <w:rPr>
          <w:rFonts w:ascii="Times New Roman" w:hAnsi="Times New Roman" w:cs="Times New Roman"/>
          <w:sz w:val="24"/>
          <w:szCs w:val="24"/>
        </w:rPr>
        <w:t>, with emphasis on:</w:t>
      </w:r>
    </w:p>
    <w:p w14:paraId="2E0681D3" w14:textId="77777777" w:rsidR="00BC6DAB" w:rsidRPr="005F2168" w:rsidRDefault="00BC6DAB" w:rsidP="00BC6DAB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Adoption</w:t>
      </w:r>
      <w:r w:rsidRPr="005F2168">
        <w:rPr>
          <w:rFonts w:ascii="Times New Roman" w:hAnsi="Times New Roman" w:cs="Times New Roman"/>
          <w:sz w:val="24"/>
          <w:szCs w:val="24"/>
        </w:rPr>
        <w:t xml:space="preserve"> (uptake of the intervention by facilities and leadership), </w:t>
      </w:r>
    </w:p>
    <w:p w14:paraId="4AAF52F2" w14:textId="77777777" w:rsidR="00BC6DAB" w:rsidRPr="005F2168" w:rsidRDefault="00BC6DAB" w:rsidP="00BC6DAB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Pr="005F2168">
        <w:rPr>
          <w:rFonts w:ascii="Times New Roman" w:hAnsi="Times New Roman" w:cs="Times New Roman"/>
          <w:sz w:val="24"/>
          <w:szCs w:val="24"/>
        </w:rPr>
        <w:t xml:space="preserve"> (fidelity, consistency, and quality of delivery), and </w:t>
      </w:r>
    </w:p>
    <w:p w14:paraId="430DD8D8" w14:textId="77777777" w:rsidR="00BC6DAB" w:rsidRPr="005F2168" w:rsidRDefault="00BC6DAB" w:rsidP="00BC6DAB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Maintenance</w:t>
      </w:r>
      <w:r w:rsidRPr="005F2168">
        <w:rPr>
          <w:rFonts w:ascii="Times New Roman" w:hAnsi="Times New Roman" w:cs="Times New Roman"/>
          <w:sz w:val="24"/>
          <w:szCs w:val="24"/>
        </w:rPr>
        <w:t xml:space="preserve"> (sustainability over time). </w:t>
      </w:r>
    </w:p>
    <w:p w14:paraId="0544A286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 xml:space="preserve">It is further strengthened by the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PCI Framework</w:t>
      </w:r>
      <w:r w:rsidRPr="005F2168">
        <w:rPr>
          <w:rFonts w:ascii="Times New Roman" w:hAnsi="Times New Roman" w:cs="Times New Roman"/>
          <w:sz w:val="24"/>
          <w:szCs w:val="24"/>
        </w:rPr>
        <w:t>, where:</w:t>
      </w:r>
    </w:p>
    <w:p w14:paraId="351BB02B" w14:textId="77777777" w:rsidR="00BC6DAB" w:rsidRPr="005F2168" w:rsidRDefault="00BC6DAB" w:rsidP="00BC6DA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Power</w:t>
      </w:r>
      <w:r w:rsidRPr="005F2168">
        <w:rPr>
          <w:rFonts w:ascii="Times New Roman" w:hAnsi="Times New Roman" w:cs="Times New Roman"/>
          <w:sz w:val="24"/>
          <w:szCs w:val="24"/>
        </w:rPr>
        <w:t xml:space="preserve"> reflects leadership authority and institutional support for adoption, </w:t>
      </w:r>
    </w:p>
    <w:p w14:paraId="02423206" w14:textId="77777777" w:rsidR="00BC6DAB" w:rsidRPr="005F2168" w:rsidRDefault="00BC6DAB" w:rsidP="00BC6DA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5F2168">
        <w:rPr>
          <w:rFonts w:ascii="Times New Roman" w:hAnsi="Times New Roman" w:cs="Times New Roman"/>
          <w:sz w:val="24"/>
          <w:szCs w:val="24"/>
        </w:rPr>
        <w:t xml:space="preserve"> represent system readiness and technical capacity for implementation, </w:t>
      </w:r>
    </w:p>
    <w:p w14:paraId="4085BFD6" w14:textId="77777777" w:rsidR="00BC6DAB" w:rsidRPr="005F2168" w:rsidRDefault="00BC6DAB" w:rsidP="00BC6DA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Interest</w:t>
      </w:r>
      <w:r w:rsidRPr="005F2168">
        <w:rPr>
          <w:rFonts w:ascii="Times New Roman" w:hAnsi="Times New Roman" w:cs="Times New Roman"/>
          <w:sz w:val="24"/>
          <w:szCs w:val="24"/>
        </w:rPr>
        <w:t xml:space="preserve"> captures stakeholder commitment and motivation for sustained use. </w:t>
      </w:r>
    </w:p>
    <w:p w14:paraId="661D3C4D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 xml:space="preserve">This combined framework allows for a comprehensive evaluation of both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how well the intervention was delivered</w:t>
      </w:r>
      <w:r w:rsidRPr="005F2168">
        <w:rPr>
          <w:rFonts w:ascii="Times New Roman" w:hAnsi="Times New Roman" w:cs="Times New Roman"/>
          <w:sz w:val="24"/>
          <w:szCs w:val="24"/>
        </w:rPr>
        <w:t xml:space="preserve"> and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its likelihood of long-term sustainability</w:t>
      </w:r>
      <w:r w:rsidRPr="005F2168">
        <w:rPr>
          <w:rFonts w:ascii="Times New Roman" w:hAnsi="Times New Roman" w:cs="Times New Roman"/>
          <w:sz w:val="24"/>
          <w:szCs w:val="24"/>
        </w:rPr>
        <w:t>.</w:t>
      </w:r>
    </w:p>
    <w:p w14:paraId="0A9F325D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Core Null Hypotheses (PCI-Focused):</w:t>
      </w:r>
    </w:p>
    <w:p w14:paraId="185BCBD7" w14:textId="77777777" w:rsidR="00BC6DAB" w:rsidRPr="005F2168" w:rsidRDefault="00BC6DAB" w:rsidP="00BC6DA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H₀₁:</w:t>
      </w:r>
      <w:r w:rsidRPr="005F2168">
        <w:rPr>
          <w:rFonts w:ascii="Times New Roman" w:hAnsi="Times New Roman" w:cs="Times New Roman"/>
          <w:sz w:val="24"/>
          <w:szCs w:val="24"/>
        </w:rPr>
        <w:t xml:space="preserve"> PCI scores do not significantly predict RE-AIM implementation outcomes among health facilities. </w:t>
      </w:r>
    </w:p>
    <w:p w14:paraId="14A7B779" w14:textId="77777777" w:rsidR="00BC6DAB" w:rsidRPr="005F2168" w:rsidRDefault="00BC6DAB" w:rsidP="00BC6DA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H₀₂:</w:t>
      </w:r>
      <w:r w:rsidRPr="005F2168">
        <w:rPr>
          <w:rFonts w:ascii="Times New Roman" w:hAnsi="Times New Roman" w:cs="Times New Roman"/>
          <w:sz w:val="24"/>
          <w:szCs w:val="24"/>
        </w:rPr>
        <w:t xml:space="preserve"> There is no significant relationship between PCI Interest and the sustainability of the intervention. </w:t>
      </w:r>
    </w:p>
    <w:p w14:paraId="01365190" w14:textId="77777777" w:rsidR="00BC6DAB" w:rsidRPr="005F2168" w:rsidRDefault="00BC6DAB" w:rsidP="00BC6DA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168">
        <w:rPr>
          <w:rFonts w:ascii="Times New Roman" w:hAnsi="Times New Roman" w:cs="Times New Roman"/>
          <w:sz w:val="24"/>
          <w:szCs w:val="24"/>
        </w:rPr>
        <w:t xml:space="preserve">Capabilities do not significantly influence perceived sustainability of the intervention. </w:t>
      </w:r>
    </w:p>
    <w:p w14:paraId="1BE3A20F" w14:textId="77777777" w:rsidR="00BC6DAB" w:rsidRPr="005F2168" w:rsidRDefault="00BC6DAB" w:rsidP="00BC6DA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H₀₄: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168">
        <w:rPr>
          <w:rFonts w:ascii="Times New Roman" w:hAnsi="Times New Roman" w:cs="Times New Roman"/>
          <w:sz w:val="24"/>
          <w:szCs w:val="24"/>
        </w:rPr>
        <w:t xml:space="preserve">Power is not significantly associated with the adoption of the intervention by facility leadership. </w:t>
      </w:r>
    </w:p>
    <w:p w14:paraId="06CCDB64" w14:textId="77777777" w:rsidR="00BC6DAB" w:rsidRPr="005F2168" w:rsidRDefault="00BC6DAB" w:rsidP="00BC6DA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H₀₅:</w:t>
      </w:r>
      <w:r w:rsidRPr="005F2168">
        <w:rPr>
          <w:rFonts w:ascii="Times New Roman" w:hAnsi="Times New Roman" w:cs="Times New Roman"/>
          <w:sz w:val="24"/>
          <w:szCs w:val="24"/>
        </w:rPr>
        <w:t xml:space="preserve"> There is no significant relationship between intervention exposure and perceived effectiveness within the RE-AIM framework. </w:t>
      </w:r>
    </w:p>
    <w:p w14:paraId="7C09444F" w14:textId="77777777" w:rsidR="00BC6DAB" w:rsidRPr="005F2168" w:rsidRDefault="00BC6DAB" w:rsidP="00BC6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5. Assessment of implementation fidelity, adoption, and sustainability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4393"/>
      </w:tblGrid>
      <w:tr w:rsidR="00BC6DAB" w:rsidRPr="005F2168" w14:paraId="4B368172" w14:textId="77777777" w:rsidTr="00F92598">
        <w:tc>
          <w:tcPr>
            <w:tcW w:w="1696" w:type="dxa"/>
            <w:shd w:val="clear" w:color="auto" w:fill="DEEAF6" w:themeFill="accent5" w:themeFillTint="33"/>
            <w:vAlign w:val="center"/>
          </w:tcPr>
          <w:p w14:paraId="0A8E7D02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of Analysis</w:t>
            </w:r>
          </w:p>
        </w:tc>
        <w:tc>
          <w:tcPr>
            <w:tcW w:w="3261" w:type="dxa"/>
            <w:shd w:val="clear" w:color="auto" w:fill="DEEAF6" w:themeFill="accent5" w:themeFillTint="33"/>
            <w:vAlign w:val="center"/>
          </w:tcPr>
          <w:p w14:paraId="175E599F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Variables (with questionnaire references)</w:t>
            </w:r>
          </w:p>
        </w:tc>
        <w:tc>
          <w:tcPr>
            <w:tcW w:w="4393" w:type="dxa"/>
            <w:shd w:val="clear" w:color="auto" w:fill="DEEAF6" w:themeFill="accent5" w:themeFillTint="33"/>
            <w:vAlign w:val="center"/>
          </w:tcPr>
          <w:p w14:paraId="19A0DC77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 Type of Analysis and Other Considerations</w:t>
            </w:r>
          </w:p>
        </w:tc>
      </w:tr>
      <w:tr w:rsidR="00BC6DAB" w:rsidRPr="005F2168" w14:paraId="40AD6E59" w14:textId="77777777" w:rsidTr="00F92598">
        <w:tc>
          <w:tcPr>
            <w:tcW w:w="1696" w:type="dxa"/>
            <w:vAlign w:val="center"/>
          </w:tcPr>
          <w:p w14:paraId="0510BF72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Univariate</w:t>
            </w:r>
          </w:p>
        </w:tc>
        <w:tc>
          <w:tcPr>
            <w:tcW w:w="3261" w:type="dxa"/>
            <w:vAlign w:val="center"/>
          </w:tcPr>
          <w:p w14:paraId="6E8D2166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RE-AIM domains: Reach (Q67), Effectiveness (Q68–73), Adoption (Q74–75),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 (Q76–79), Maintenance (Q80–82); PCI components: Power (Q51–55), Capabilities (Q56–61), Interest (Q62–66); Composite scores: RE-AIM domain scores and overall RE-AIM Composite Score</w:t>
            </w:r>
          </w:p>
        </w:tc>
        <w:tc>
          <w:tcPr>
            <w:tcW w:w="4393" w:type="dxa"/>
            <w:vAlign w:val="center"/>
          </w:tcPr>
          <w:p w14:paraId="37472D9B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Frequencies and proportions for all RE-AIM items.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Mean and standard deviation for each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RE-AIM domain score and overall composite score.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Mean and standard deviation for PCI component scores.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Visualization of RE-AIM domain profiles across facilities (e.g., radar/spider charts).</w:t>
            </w:r>
          </w:p>
        </w:tc>
      </w:tr>
      <w:tr w:rsidR="00BC6DAB" w:rsidRPr="005F2168" w14:paraId="66A22AA0" w14:textId="77777777" w:rsidTr="00F92598">
        <w:tc>
          <w:tcPr>
            <w:tcW w:w="1696" w:type="dxa"/>
            <w:vAlign w:val="center"/>
          </w:tcPr>
          <w:p w14:paraId="586F1A68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Bivariate</w:t>
            </w:r>
          </w:p>
        </w:tc>
        <w:tc>
          <w:tcPr>
            <w:tcW w:w="3261" w:type="dxa"/>
            <w:vAlign w:val="center"/>
          </w:tcPr>
          <w:p w14:paraId="3954EBF6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Outcome: RE-AIM Implementation Score (continuous); Explanatory: cadre (Q7), location (Q4); Outcome: RE-AIM Maintenance Score (continuous); Explanatory: PCI Interest Score; Outcome: Adoption (Q74: binary); Explanatory: PCI Power Score; Outcome: RE-AIM Effectiveness Score (continuous); Explanatory: Intervention Exposure Score; Outcome: Sustainability likelihood (Q82: ordinal); Explanatory: PCI Capabilities Score</w:t>
            </w:r>
          </w:p>
        </w:tc>
        <w:tc>
          <w:tcPr>
            <w:tcW w:w="4393" w:type="dxa"/>
            <w:vAlign w:val="center"/>
          </w:tcPr>
          <w:p w14:paraId="09ED1097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One-way ANOVA to test differences across groups.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Pearson correlation for relationships between continuous variables.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Point-biserial correlation (or t-test) for binary-continuous relationships.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Spearman rank correlation for ordinal outcomes.</w:t>
            </w:r>
          </w:p>
        </w:tc>
      </w:tr>
      <w:tr w:rsidR="00BC6DAB" w:rsidRPr="005F2168" w14:paraId="013BB5F6" w14:textId="77777777" w:rsidTr="00F92598">
        <w:tc>
          <w:tcPr>
            <w:tcW w:w="1696" w:type="dxa"/>
            <w:vAlign w:val="center"/>
          </w:tcPr>
          <w:p w14:paraId="764A17AF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Multivariate</w:t>
            </w:r>
          </w:p>
        </w:tc>
        <w:tc>
          <w:tcPr>
            <w:tcW w:w="3261" w:type="dxa"/>
            <w:vAlign w:val="center"/>
          </w:tcPr>
          <w:p w14:paraId="137B936E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Dependent variables: RE-AIM Composite Score (continuous); Sustainability likelihood (Q82: ordinal); Independent variables: PCI Power Score, PCI Capabilities Score, PCI Interest Score, cadre, location, Governance Strength Index, RE-AIM Implementation Score</w:t>
            </w:r>
          </w:p>
        </w:tc>
        <w:tc>
          <w:tcPr>
            <w:tcW w:w="4393" w:type="dxa"/>
            <w:vAlign w:val="center"/>
          </w:tcPr>
          <w:p w14:paraId="06D3AA5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Multiple linear regression to determine the independent contribution of PCI components to overall implementation performance (RE-AIM Composite Score).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Ordinal logistic regression to identify predictors of sustainability; proportional odds assumption to be tested (e.g., Brant test).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Standardized coefficients to compare relative importance of PCI dimensions.</w:t>
            </w:r>
          </w:p>
        </w:tc>
      </w:tr>
    </w:tbl>
    <w:p w14:paraId="6AC061BA" w14:textId="77777777" w:rsidR="00BC6DAB" w:rsidRPr="005F2168" w:rsidRDefault="00BC6DAB" w:rsidP="00BC6D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201B9" w14:textId="77777777" w:rsidR="00BC6DAB" w:rsidRDefault="00BC6DAB" w:rsidP="00BC6DAB">
      <w:pPr>
        <w:spacing w:after="160" w:line="278" w:lineRule="auto"/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Topic 6: </w:t>
      </w:r>
      <w:r w:rsidRPr="008A24F8">
        <w:rPr>
          <w:rFonts w:ascii="Times New Roman" w:hAnsi="Times New Roman" w:cs="Times New Roman"/>
          <w:b/>
          <w:sz w:val="24"/>
          <w:szCs w:val="24"/>
        </w:rPr>
        <w:t>Health worker absenteeism and service delivery outcomes in Enugu State, Nigeria: application of PCI and RE-AIM frameworks</w:t>
      </w:r>
    </w:p>
    <w:p w14:paraId="3DB903C1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Framework centered on (PCI &amp; RE-AIM):</w:t>
      </w:r>
    </w:p>
    <w:p w14:paraId="7DD1CC2A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 xml:space="preserve">This objective is framed within the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RE-AIM Framework</w:t>
      </w:r>
      <w:r w:rsidRPr="005F2168">
        <w:rPr>
          <w:rFonts w:ascii="Times New Roman" w:hAnsi="Times New Roman" w:cs="Times New Roman"/>
          <w:sz w:val="24"/>
          <w:szCs w:val="24"/>
        </w:rPr>
        <w:t xml:space="preserve">, emphasizing the </w:t>
      </w:r>
      <w:r w:rsidRPr="005F2168">
        <w:rPr>
          <w:rFonts w:ascii="Times New Roman" w:hAnsi="Times New Roman" w:cs="Times New Roman"/>
          <w:i/>
          <w:iCs/>
          <w:sz w:val="24"/>
          <w:szCs w:val="24"/>
        </w:rPr>
        <w:t>Effectiveness</w:t>
      </w:r>
      <w:r w:rsidRPr="005F2168">
        <w:rPr>
          <w:rFonts w:ascii="Times New Roman" w:hAnsi="Times New Roman" w:cs="Times New Roman"/>
          <w:sz w:val="24"/>
          <w:szCs w:val="24"/>
        </w:rPr>
        <w:t xml:space="preserve"> domain to assess how absenteeism impacts service delivery outcomes (e.g., patient volume, quality of care).</w:t>
      </w:r>
    </w:p>
    <w:p w14:paraId="74926B47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 xml:space="preserve">The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PCI Framework</w:t>
      </w:r>
      <w:r w:rsidRPr="005F2168">
        <w:rPr>
          <w:rFonts w:ascii="Times New Roman" w:hAnsi="Times New Roman" w:cs="Times New Roman"/>
          <w:sz w:val="24"/>
          <w:szCs w:val="24"/>
        </w:rPr>
        <w:t xml:space="preserve"> is also applied to understand how institutional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Power</w:t>
      </w:r>
      <w:r w:rsidRPr="005F2168">
        <w:rPr>
          <w:rFonts w:ascii="Times New Roman" w:hAnsi="Times New Roman" w:cs="Times New Roman"/>
          <w:sz w:val="24"/>
          <w:szCs w:val="24"/>
        </w:rPr>
        <w:t xml:space="preserve"> (governance and supervision),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5F2168">
        <w:rPr>
          <w:rFonts w:ascii="Times New Roman" w:hAnsi="Times New Roman" w:cs="Times New Roman"/>
          <w:sz w:val="24"/>
          <w:szCs w:val="24"/>
        </w:rPr>
        <w:t xml:space="preserve"> (staffing adequacy and system readiness), and </w:t>
      </w:r>
      <w:r w:rsidRPr="005F2168">
        <w:rPr>
          <w:rFonts w:ascii="Times New Roman" w:hAnsi="Times New Roman" w:cs="Times New Roman"/>
          <w:b/>
          <w:bCs/>
          <w:sz w:val="24"/>
          <w:szCs w:val="24"/>
        </w:rPr>
        <w:t>Interest</w:t>
      </w:r>
      <w:r w:rsidRPr="005F2168">
        <w:rPr>
          <w:rFonts w:ascii="Times New Roman" w:hAnsi="Times New Roman" w:cs="Times New Roman"/>
          <w:sz w:val="24"/>
          <w:szCs w:val="24"/>
        </w:rPr>
        <w:t xml:space="preserve"> (motivation and engagement) moderate or mediate the relationship between absenteeism and service delivery.</w:t>
      </w:r>
    </w:p>
    <w:p w14:paraId="302A8518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sz w:val="24"/>
          <w:szCs w:val="24"/>
        </w:rPr>
        <w:t>This dual framework ensures that both operational factors and human behavior are considered in evaluating health system performance.</w:t>
      </w:r>
    </w:p>
    <w:p w14:paraId="6A40BEC3" w14:textId="77777777" w:rsidR="00BC6DAB" w:rsidRPr="005F2168" w:rsidRDefault="00BC6DAB" w:rsidP="00BC6DAB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Core Null Hypotheses (PCI-Focused):</w:t>
      </w:r>
    </w:p>
    <w:p w14:paraId="50E31EE6" w14:textId="77777777" w:rsidR="00BC6DAB" w:rsidRPr="005F2168" w:rsidRDefault="00BC6DAB" w:rsidP="00BC6DA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H₀₁:</w:t>
      </w:r>
      <w:r w:rsidRPr="005F2168">
        <w:rPr>
          <w:rFonts w:ascii="Times New Roman" w:hAnsi="Times New Roman" w:cs="Times New Roman"/>
          <w:sz w:val="24"/>
          <w:szCs w:val="24"/>
        </w:rPr>
        <w:t xml:space="preserve"> Health worker absenteeism is not significantly associated with monthly patient volume in immunization and antenatal services. </w:t>
      </w:r>
    </w:p>
    <w:p w14:paraId="34253226" w14:textId="77777777" w:rsidR="00BC6DAB" w:rsidRPr="005F2168" w:rsidRDefault="00BC6DAB" w:rsidP="00BC6DA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H₀₂:</w:t>
      </w:r>
      <w:r w:rsidRPr="005F2168">
        <w:rPr>
          <w:rFonts w:ascii="Times New Roman" w:hAnsi="Times New Roman" w:cs="Times New Roman"/>
          <w:sz w:val="24"/>
          <w:szCs w:val="24"/>
        </w:rPr>
        <w:t xml:space="preserve"> Facility-level absenteeism rates do not significantly differ between intervention and control facilities in terms of service delivery outcomes. </w:t>
      </w:r>
    </w:p>
    <w:p w14:paraId="1201B86B" w14:textId="77777777" w:rsidR="00BC6DAB" w:rsidRPr="005F2168" w:rsidRDefault="00BC6DAB" w:rsidP="00BC6DA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H₀₃:</w:t>
      </w:r>
      <w:r w:rsidRPr="005F2168">
        <w:rPr>
          <w:rFonts w:ascii="Times New Roman" w:hAnsi="Times New Roman" w:cs="Times New Roman"/>
          <w:sz w:val="24"/>
          <w:szCs w:val="24"/>
        </w:rPr>
        <w:t xml:space="preserve"> Perceived improvements in service delivery are not significantly related to facility attendance rates. </w:t>
      </w:r>
    </w:p>
    <w:p w14:paraId="670CA7D3" w14:textId="77777777" w:rsidR="00BC6DAB" w:rsidRPr="005F2168" w:rsidRDefault="00BC6DAB" w:rsidP="00BC6DA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H₀₄:</w:t>
      </w:r>
      <w:r w:rsidRPr="005F2168">
        <w:rPr>
          <w:rFonts w:ascii="Times New Roman" w:hAnsi="Times New Roman" w:cs="Times New Roman"/>
          <w:sz w:val="24"/>
          <w:szCs w:val="24"/>
        </w:rPr>
        <w:t xml:space="preserve"> Staffing adequacy does not significantly influence patient volume or perceived service delivery outcomes. </w:t>
      </w:r>
    </w:p>
    <w:p w14:paraId="6B8F4A60" w14:textId="77777777" w:rsidR="00BC6DAB" w:rsidRPr="005F2168" w:rsidRDefault="00BC6DAB" w:rsidP="00BC6DA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H₀₅:</w:t>
      </w:r>
      <w:r w:rsidRPr="005F2168">
        <w:rPr>
          <w:rFonts w:ascii="Times New Roman" w:hAnsi="Times New Roman" w:cs="Times New Roman"/>
          <w:sz w:val="24"/>
          <w:szCs w:val="24"/>
        </w:rPr>
        <w:t xml:space="preserve"> PCI components do not moderate the effect of absenteeism on service delivery outcomes. </w:t>
      </w:r>
    </w:p>
    <w:p w14:paraId="73254753" w14:textId="77777777" w:rsidR="00BC6DAB" w:rsidRPr="005F2168" w:rsidRDefault="00BC6DAB" w:rsidP="00BC6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sz w:val="24"/>
          <w:szCs w:val="24"/>
        </w:rPr>
        <w:t>6. Assessment of the relationship between absenteeism and service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968"/>
      </w:tblGrid>
      <w:tr w:rsidR="00BC6DAB" w:rsidRPr="005F2168" w14:paraId="657B970F" w14:textId="77777777" w:rsidTr="00F92598">
        <w:tc>
          <w:tcPr>
            <w:tcW w:w="1696" w:type="dxa"/>
            <w:shd w:val="clear" w:color="auto" w:fill="DEEAF6" w:themeFill="accent5" w:themeFillTint="33"/>
            <w:vAlign w:val="center"/>
          </w:tcPr>
          <w:p w14:paraId="782E1E21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of Analysis</w:t>
            </w:r>
          </w:p>
        </w:tc>
        <w:tc>
          <w:tcPr>
            <w:tcW w:w="3686" w:type="dxa"/>
            <w:shd w:val="clear" w:color="auto" w:fill="DEEAF6" w:themeFill="accent5" w:themeFillTint="33"/>
            <w:vAlign w:val="center"/>
          </w:tcPr>
          <w:p w14:paraId="1C46D63F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Variables (with questionnaire references)</w:t>
            </w:r>
          </w:p>
        </w:tc>
        <w:tc>
          <w:tcPr>
            <w:tcW w:w="3968" w:type="dxa"/>
            <w:shd w:val="clear" w:color="auto" w:fill="DEEAF6" w:themeFill="accent5" w:themeFillTint="33"/>
            <w:vAlign w:val="center"/>
          </w:tcPr>
          <w:p w14:paraId="6495E4E8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 Type of Analysis and Other Considerations</w:t>
            </w:r>
          </w:p>
        </w:tc>
      </w:tr>
      <w:tr w:rsidR="00BC6DAB" w:rsidRPr="005F2168" w14:paraId="2425B3EC" w14:textId="77777777" w:rsidTr="00F92598">
        <w:tc>
          <w:tcPr>
            <w:tcW w:w="1696" w:type="dxa"/>
            <w:vAlign w:val="center"/>
          </w:tcPr>
          <w:p w14:paraId="515F012D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Univariate</w:t>
            </w:r>
          </w:p>
        </w:tc>
        <w:tc>
          <w:tcPr>
            <w:tcW w:w="3686" w:type="dxa"/>
            <w:vAlign w:val="center"/>
          </w:tcPr>
          <w:p w14:paraId="44BCF650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Monthly patient volume (immunization + antenatal); perceived service delivery impact (Q72); staffing adequacy (Q60)</w:t>
            </w:r>
          </w:p>
        </w:tc>
        <w:tc>
          <w:tcPr>
            <w:tcW w:w="3968" w:type="dxa"/>
            <w:vAlign w:val="center"/>
          </w:tcPr>
          <w:p w14:paraId="2042222C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Mean, median, SD, and trends of patient volume over 13 months.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Distribution of perceived service delivery impact.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Facility-level summary of staffing adequacy.</w:t>
            </w:r>
          </w:p>
        </w:tc>
      </w:tr>
      <w:tr w:rsidR="00BC6DAB" w:rsidRPr="005F2168" w14:paraId="0FAF52A1" w14:textId="77777777" w:rsidTr="00F92598">
        <w:tc>
          <w:tcPr>
            <w:tcW w:w="1696" w:type="dxa"/>
            <w:vAlign w:val="center"/>
          </w:tcPr>
          <w:p w14:paraId="55743894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Bivariate</w:t>
            </w:r>
          </w:p>
        </w:tc>
        <w:tc>
          <w:tcPr>
            <w:tcW w:w="3686" w:type="dxa"/>
            <w:vAlign w:val="center"/>
          </w:tcPr>
          <w:p w14:paraId="66AB696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Outcome: monthly patient volume (continuous); Explanatory: facility-level absenteeism rate (continuous)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8F81E0A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Outcome: monthly patient volume; Explanatory: facility category (intervention/control)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41A53C4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Outcome: perceived service delivery improvement (Q72: ordinal); Explanatory: attendance rate (continuous)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7B053C30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Outcome: monthly patient volume; Explanatory: staffing adequacy (Q60: binary)</w:t>
            </w:r>
          </w:p>
        </w:tc>
        <w:tc>
          <w:tcPr>
            <w:tcW w:w="3968" w:type="dxa"/>
            <w:vAlign w:val="center"/>
          </w:tcPr>
          <w:p w14:paraId="12E2EE9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Pearson correlation (or Spearman if non-normal) for continuous predictors. </w:t>
            </w:r>
          </w:p>
          <w:p w14:paraId="26E7886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Independent samples t-test for comparisons between facility categories or staffing adequacy. </w:t>
            </w:r>
          </w:p>
          <w:p w14:paraId="1B68625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922AD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Spearman rank correlation for ordinal perceived outcomes.</w:t>
            </w:r>
          </w:p>
          <w:p w14:paraId="1881E4D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45C6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Independent samples t-test for comparisons between facility categories or staffing adequacy. </w:t>
            </w:r>
          </w:p>
          <w:p w14:paraId="55C8B407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DAB" w:rsidRPr="005F2168" w14:paraId="40357CCE" w14:textId="77777777" w:rsidTr="00F92598">
        <w:tc>
          <w:tcPr>
            <w:tcW w:w="1696" w:type="dxa"/>
            <w:vAlign w:val="center"/>
          </w:tcPr>
          <w:p w14:paraId="5401950C" w14:textId="77777777" w:rsidR="00BC6DAB" w:rsidRPr="005F2168" w:rsidRDefault="00BC6DAB" w:rsidP="00F92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Multivariate</w:t>
            </w:r>
          </w:p>
        </w:tc>
        <w:tc>
          <w:tcPr>
            <w:tcW w:w="3686" w:type="dxa"/>
            <w:vAlign w:val="center"/>
          </w:tcPr>
          <w:p w14:paraId="5BBFCDCA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Dependent variables: monthly patient volume (continuous), perceived service delivery improvement (Q72: ordinal); </w:t>
            </w:r>
          </w:p>
          <w:p w14:paraId="6846B5D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A014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Independent variables: facility-level absenteeism rate, facility category, time period, category × time interaction, location, PCI Capabilities Score, Intervention Exposure Score</w:t>
            </w:r>
          </w:p>
        </w:tc>
        <w:tc>
          <w:tcPr>
            <w:tcW w:w="3968" w:type="dxa"/>
            <w:vAlign w:val="center"/>
          </w:tcPr>
          <w:p w14:paraId="29D0897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• Mixed-effects linear regression to account for repeated measures (monthly patient volume) and facility clustering.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Ordinal logistic regression to test predictors of perceived service delivery improvement.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br/>
              <w:t>• Evaluates independent effect of absenteeism on service delivery after controlling for facility characteristics and PCI/RE-AIM indicators.</w:t>
            </w:r>
          </w:p>
        </w:tc>
      </w:tr>
    </w:tbl>
    <w:p w14:paraId="5F01D2FC" w14:textId="77777777" w:rsidR="00BC6DAB" w:rsidRPr="005F2168" w:rsidRDefault="00BC6DAB" w:rsidP="00BC6D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932EE" w14:textId="7C2E2C70" w:rsidR="00BC6DAB" w:rsidRPr="00BC6DAB" w:rsidRDefault="00BC6DAB" w:rsidP="00BC6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eastAsia="Times New Roman" w:hAnsi="Times New Roman" w:cs="Times New Roman"/>
          <w:b/>
          <w:bCs/>
          <w:sz w:val="24"/>
          <w:szCs w:val="24"/>
        </w:rPr>
        <w:t>5. Analysis by objectives</w:t>
      </w:r>
    </w:p>
    <w:p w14:paraId="4B93A682" w14:textId="77777777" w:rsidR="00BC6DAB" w:rsidRPr="005F2168" w:rsidRDefault="00BC6DAB" w:rsidP="00BC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5: Implementation fidelity, adoption, sustainability</w:t>
      </w:r>
    </w:p>
    <w:p w14:paraId="7A679F17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color w:val="000000"/>
          <w:sz w:val="24"/>
          <w:szCs w:val="24"/>
        </w:rPr>
        <w:t>Relevant Data Sources: Survey Section 6 (PCI: Q51–66) and Section 7 (RE-AIM: Q67–82). Analysis applies primarily to intervention facilities.</w:t>
      </w:r>
    </w:p>
    <w:p w14:paraId="744F3BB3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5.5.1 Univariate analysis</w:t>
      </w:r>
    </w:p>
    <w:p w14:paraId="1EB23618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color w:val="000000"/>
          <w:sz w:val="24"/>
          <w:szCs w:val="24"/>
        </w:rPr>
        <w:t>RE-AIM domain scores: frequencies and proportions for each item within Reach (Q67), Effectiveness (Q68–73), Adoption (Q74–75), Implementation (Q76–79), and Maintenance (Q80–82). Means and SDs for each domain score and overall RE-AIM Composite Score. PCI framework: means and SDs for Power Score (Q51–55), Capabilities Score (Q56–61), and Interest Score (Q62–66). Radar/spider charts to visualize RE-AIM domain profiles across facilities.</w:t>
      </w:r>
    </w:p>
    <w:p w14:paraId="35D1F822" w14:textId="77777777" w:rsidR="00BC6DAB" w:rsidRPr="005F2168" w:rsidRDefault="00BC6DAB" w:rsidP="00BC6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5.5.2 Bivariate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360"/>
        <w:gridCol w:w="2500"/>
      </w:tblGrid>
      <w:tr w:rsidR="00BC6DAB" w:rsidRPr="005F2168" w14:paraId="52F719E4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8F9C8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Outcome Variable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47C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Explanatory Variable(s)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244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1A26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BC6DAB" w:rsidRPr="005F2168" w14:paraId="54954E44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23D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RE-AIM Implementation Score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753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Cadre (Q7), Location (Q4)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346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One-way ANOVA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AF4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whether implementation fidelity varies by cadre or location; continuous score across &gt;2 groups</w:t>
            </w:r>
          </w:p>
        </w:tc>
      </w:tr>
      <w:tr w:rsidR="00BC6DAB" w:rsidRPr="005F2168" w14:paraId="3B0B370B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781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RE-AIM Maintenance Score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31D8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PCI Interest Score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DAA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Pearson correlation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15F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whether stakeholder interest/commitment predicts sustainability; both continuous</w:t>
            </w:r>
          </w:p>
        </w:tc>
      </w:tr>
      <w:tr w:rsidR="00BC6DAB" w:rsidRPr="005F2168" w14:paraId="225AA533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7A6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Adoption: leadership approval (Q74: binary)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F63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PCI Power Score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818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Point-biserial correlation (or t-test)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F09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relationship between institutional power structures and formal adoption of the intervention</w:t>
            </w:r>
          </w:p>
        </w:tc>
      </w:tr>
      <w:tr w:rsidR="00BC6DAB" w:rsidRPr="005F2168" w14:paraId="2BE62765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4F3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RE-AIM Effectiveness domain score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A25D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Intervention Exposure Score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3BBA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Pearson correlation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496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dose-response: higher exposure should correlate with greater perceived effectiveness</w:t>
            </w:r>
          </w:p>
        </w:tc>
      </w:tr>
      <w:tr w:rsidR="00BC6DAB" w:rsidRPr="005F2168" w14:paraId="22C55777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0BA8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Sustainability likelihood (Q82: ordinal)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0E3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PCI Capabilities Score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B1F5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Spearman rank correlation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DB5D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Ordinal outcome with continuous predictor; Spearman appropriate for ordinal data</w:t>
            </w:r>
          </w:p>
        </w:tc>
      </w:tr>
    </w:tbl>
    <w:p w14:paraId="07B934B8" w14:textId="77777777" w:rsidR="00BC6DAB" w:rsidRPr="005F2168" w:rsidRDefault="00BC6DAB" w:rsidP="00BC6DAB">
      <w:pPr>
        <w:rPr>
          <w:rFonts w:ascii="Times New Roman" w:hAnsi="Times New Roman" w:cs="Times New Roman"/>
          <w:sz w:val="24"/>
          <w:szCs w:val="24"/>
        </w:rPr>
      </w:pPr>
    </w:p>
    <w:p w14:paraId="67282B11" w14:textId="77777777" w:rsidR="00BC6DAB" w:rsidRPr="005F2168" w:rsidRDefault="00BC6DAB" w:rsidP="00BC6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5.5.3 Multivariate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560"/>
        <w:gridCol w:w="2000"/>
      </w:tblGrid>
      <w:tr w:rsidR="00BC6DAB" w:rsidRPr="005F2168" w14:paraId="465FB7B9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91C2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A7429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Outcome (DV)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413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Independent Variables (IVs)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E437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BC6DAB" w:rsidRPr="005F2168" w14:paraId="092656B7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1F9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Multiple Linear Regression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55C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RE-AIM Composite Score (continuous)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3AB6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PCI Power Score, PCI Capabilities Score, PCI Interest Score, cadre, location, Governance Strength Index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315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Tests which PCI dimensions independently predict overall intervention performance. </w:t>
            </w:r>
            <w:proofErr w:type="spellStart"/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Standardised</w:t>
            </w:r>
            <w:proofErr w:type="spellEnd"/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 beta coefficients allow comparison of relative importance.</w:t>
            </w:r>
          </w:p>
        </w:tc>
      </w:tr>
      <w:tr w:rsidR="00BC6DAB" w:rsidRPr="005F2168" w14:paraId="70B5F7EF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581D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Ordinal Logistic Regression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61BC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Sustainability likelihood (Q82: 4 ordinal levels)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EFC4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PCI Power, PCI Capabilities, PCI Interest, RE-AIM Implementation Score, cadre, location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0992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Ordinal DV with natural ordering; identifies which implementation and institutional factors drive sustainability perceptions. Proportional odds assumption to be tested.</w:t>
            </w:r>
          </w:p>
        </w:tc>
      </w:tr>
    </w:tbl>
    <w:p w14:paraId="0FF57A1F" w14:textId="77777777" w:rsidR="00BC6DAB" w:rsidRPr="005F2168" w:rsidRDefault="00BC6DAB" w:rsidP="00BC6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AB91F" w14:textId="77777777" w:rsidR="00BC6DAB" w:rsidRPr="005F2168" w:rsidRDefault="00BC6DAB" w:rsidP="00BC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216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6: Absenteeism and service delivery</w:t>
      </w:r>
    </w:p>
    <w:p w14:paraId="4E7CCD80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color w:val="000000"/>
          <w:sz w:val="24"/>
          <w:szCs w:val="24"/>
        </w:rPr>
        <w:t>Relevant Data Sources: Attendance Data Extraction Tool (monthly patient volumes from immunization and antenatal records; monthly attendance/absenteeism rates). Survey Q60 (staffing adequacy), Q72 (absenteeism impact on service delivery).</w:t>
      </w:r>
    </w:p>
    <w:p w14:paraId="24E48F47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5.6.1 Univariate analysis</w:t>
      </w:r>
    </w:p>
    <w:p w14:paraId="6F596038" w14:textId="77777777" w:rsidR="00BC6DAB" w:rsidRPr="005F2168" w:rsidRDefault="00BC6DAB" w:rsidP="00BC6DA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color w:val="000000"/>
          <w:sz w:val="24"/>
          <w:szCs w:val="24"/>
        </w:rPr>
        <w:t>Monthly patient volume (immunization + antenatal): means, medians, SDs, and trends over 13 months. Distribution of perceived impact on service delivery (Q72). Facility-level summary of staffing adequacy (Q60).</w:t>
      </w:r>
    </w:p>
    <w:p w14:paraId="52CD44D8" w14:textId="77777777" w:rsidR="00BC6DAB" w:rsidRPr="005F2168" w:rsidRDefault="00BC6DAB" w:rsidP="00BC6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5.6.2 Bivariate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360"/>
        <w:gridCol w:w="2500"/>
      </w:tblGrid>
      <w:tr w:rsidR="00BC6DAB" w:rsidRPr="005F2168" w14:paraId="0F1FFD7C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0017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Outcome Variable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423A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Explanatory Variable(s)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9D09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46B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BC6DAB" w:rsidRPr="005F2168" w14:paraId="2DC33CEA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275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Monthly patient volume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DC4F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Facility-level absenteeism rate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91BF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Pearson correlation (or Spearman)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47A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whether higher absenteeism is associated with lower patient throughput; both continuous variables at facility-month level</w:t>
            </w:r>
          </w:p>
        </w:tc>
      </w:tr>
      <w:tr w:rsidR="00BC6DAB" w:rsidRPr="005F2168" w14:paraId="1ADB29C4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AAD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Monthly patient volume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B8932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Facility category (intervention/control)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23BE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Independent samples t-test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73578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Compares patient volumes between intervention and control facilities</w:t>
            </w:r>
          </w:p>
        </w:tc>
      </w:tr>
      <w:tr w:rsidR="00BC6DAB" w:rsidRPr="005F2168" w14:paraId="042AABA2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10A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Perceived service delivery improvement (Q72: ordinal)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D4D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Facility-level attendance rate (continuous)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3816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Spearman rank correlation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5585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Ordinal outcome with continuous predictor; tests whether actual attendance improvements align with perceived service delivery gains</w:t>
            </w:r>
          </w:p>
        </w:tc>
      </w:tr>
      <w:tr w:rsidR="00BC6DAB" w:rsidRPr="005F2168" w14:paraId="5FFF62E1" w14:textId="77777777" w:rsidTr="00F92598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10EF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Monthly patient volume (continuous)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8BA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Staffing adequacy (Q60: binary)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82038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Independent samples t-test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90347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Tests whether facilities with adequate staffing see more patients</w:t>
            </w:r>
          </w:p>
        </w:tc>
      </w:tr>
    </w:tbl>
    <w:p w14:paraId="63813265" w14:textId="77777777" w:rsidR="00BC6DAB" w:rsidRPr="005F2168" w:rsidRDefault="00BC6DAB" w:rsidP="00BC6DAB">
      <w:pPr>
        <w:rPr>
          <w:rFonts w:ascii="Times New Roman" w:hAnsi="Times New Roman" w:cs="Times New Roman"/>
          <w:sz w:val="24"/>
          <w:szCs w:val="24"/>
        </w:rPr>
      </w:pPr>
    </w:p>
    <w:p w14:paraId="6E7732AB" w14:textId="77777777" w:rsidR="00BC6DAB" w:rsidRPr="005F2168" w:rsidRDefault="00BC6DAB" w:rsidP="00BC6D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F21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5.6.3 Multivariate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560"/>
        <w:gridCol w:w="2000"/>
      </w:tblGrid>
      <w:tr w:rsidR="00BC6DAB" w:rsidRPr="005F2168" w14:paraId="196341A6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FAC2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B37F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Outcome (DV)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FD2E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Independent Variables (IVs)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A56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Rationale</w:t>
            </w:r>
          </w:p>
        </w:tc>
      </w:tr>
      <w:tr w:rsidR="00BC6DAB" w:rsidRPr="005F2168" w14:paraId="7763309C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34C1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Mixed-Effects Linear Regression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9379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Monthly patient volume (continuous, repeated measures)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6E1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Fixed effects: facility-level absenteeism rate, facility category, time period, category × time, location. Random effects: facility intercept.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0A4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 xml:space="preserve">Monthly volumes are repeated within facilities (hierarchical); mixed model handles correlation within </w:t>
            </w:r>
            <w:r w:rsidRPr="005F21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clusters. Tests whether absenteeism rate independently predicts patient volume after controlling for facility and time effects.</w:t>
            </w:r>
          </w:p>
        </w:tc>
      </w:tr>
      <w:tr w:rsidR="00BC6DAB" w:rsidRPr="005F2168" w14:paraId="641E7E82" w14:textId="77777777" w:rsidTr="00F92598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CB813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Ordinal Logistic Regression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E7DDB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Perceived service delivery improvement (Q72: 3 ordinal levels)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F02F0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Attendance rate, facility category, cadre, PCI Capabilities Score, Intervention Exposure Score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9CDC" w14:textId="77777777" w:rsidR="00BC6DAB" w:rsidRPr="005F2168" w:rsidRDefault="00BC6DAB" w:rsidP="00F925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2168">
              <w:rPr>
                <w:rFonts w:ascii="Times New Roman" w:hAnsi="Times New Roman" w:cs="Times New Roman"/>
                <w:sz w:val="24"/>
                <w:szCs w:val="24"/>
              </w:rPr>
              <w:t>Ordinal DV; tests whether objective attendance gains and institutional capacity independently predict perceived service delivery improvement.</w:t>
            </w:r>
          </w:p>
        </w:tc>
      </w:tr>
    </w:tbl>
    <w:p w14:paraId="7F9C8B21" w14:textId="77777777" w:rsidR="00D15C2A" w:rsidRDefault="00D15C2A"/>
    <w:sectPr w:rsidR="00D1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5A5"/>
    <w:multiLevelType w:val="multilevel"/>
    <w:tmpl w:val="3DF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41041"/>
    <w:multiLevelType w:val="multilevel"/>
    <w:tmpl w:val="69D6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53CCF"/>
    <w:multiLevelType w:val="multilevel"/>
    <w:tmpl w:val="485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E5855"/>
    <w:multiLevelType w:val="multilevel"/>
    <w:tmpl w:val="132E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AB"/>
    <w:rsid w:val="00AF196F"/>
    <w:rsid w:val="00BC6DAB"/>
    <w:rsid w:val="00D1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9C0E"/>
  <w15:chartTrackingRefBased/>
  <w15:docId w15:val="{2FCD7E2B-C0CB-43C2-9DD3-DDA6E641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DA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6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1736</Words>
  <Characters>9898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 Godwin Ezema</dc:creator>
  <cp:keywords/>
  <dc:description/>
  <cp:lastModifiedBy>Uche Godwin Ezema</cp:lastModifiedBy>
  <cp:revision>1</cp:revision>
  <dcterms:created xsi:type="dcterms:W3CDTF">2026-05-23T05:59:00Z</dcterms:created>
  <dcterms:modified xsi:type="dcterms:W3CDTF">2026-05-23T06:43:00Z</dcterms:modified>
</cp:coreProperties>
</file>