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Objective 6 - Absenteeism and service delivery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6.1 Patient volume distribution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6.1. Monthly patient volume (facility-month observations), by facility category and period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0"/>
        <w:tblLook w:firstRow="1" w:lastRow="0" w:firstColumn="0" w:lastColumn="0" w:noHBand="0" w:noVBand="1"/>
      </w:tblPr>
      <w:tr>
        <w:trPr>
          <w:trHeight w:val="571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Pre-intervention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Intervention</w:t>
            </w:r>
          </w:p>
        </w:tc>
      </w:tr>
      <w:tr>
        <w:trPr>
          <w:trHeight w:val="73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24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Intervention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29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Intervention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25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Monthly patient volume (ANC + Imm)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207.5 (142.3)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240.8 (152.1)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222.9 (165.4)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232.8 (182.8)</w:t>
            </w:r>
          </w:p>
        </w:tc>
      </w:tr>
      <w:tr>
        <w:trPr>
          <w:trHeight w:val="615" w:hRule="auto"/>
        </w:trPr>
        body3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[Q1, Q3]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161.5 [118.5, 220.0]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174.0 [136.0, 384.0]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149.0 [130.0, 191.0]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163.0 [15.0, 421.0]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6.2 Q72 service delivery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6.2. Perceived service delivery improvement (Q72), intervention sites only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0"/>
        <w:tblLook w:firstRow="1" w:lastRow="0" w:firstColumn="0" w:lastColumn="0" w:noHBand="0" w:noVBand="1"/>
      </w:tblPr>
      <w:tr>
        <w:trPr>
          <w:trHeight w:val="57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39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Q72. Did reduced absenteeism improve service delivery?, n (%)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Yes, significantly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 (100)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6.3 Q60 staffing adequacy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6.3. Staffing adequacy (Q60), by facility category - NB Q60 only filled for intervention sites due to ODK skip logic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0"/>
        <w:tblLook w:firstRow="1" w:lastRow="0" w:firstColumn="0" w:lastColumn="0" w:noHBand="0" w:noVBand="1"/>
      </w:tblPr>
      <w:tr>
        <w:trPr>
          <w:trHeight w:val="73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54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Intervention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39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Q60. Sufficient staff to ensure service coverage, n (%)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 (31)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(5.1)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 (64)</w:t>
            </w:r>
          </w:p>
        </w:tc>
      </w:tr>
      <w:tr>
        <w:trPr>
          <w:trHeight w:val="571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6.4 Bivariate associations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6.4. Bivariate associations - absenteeism and service delivery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5644"/>
        <w:gridCol w:w="4800"/>
        <w:gridCol w:w="3003"/>
        <w:gridCol w:w="1328"/>
        <w:gridCol w:w="961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Monthly patient volume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Facility-month absenteeism rate (continuous)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Spearman rank correlation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Monthly patient volume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Facility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Mann-Whitney U 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0.655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Q72 Perceived service delivery improvement (ordinal)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Facility-level attendance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run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Monthly patient volume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Q60 Staffing adequacy (PHC majority)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Mann-Whitney U test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196.000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6.5 Mixed-effects model patient volume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6.5. Mixed-effects linear regression: log(1 + monthly patients) ~ facility-level absenteeism + intervention DiD. Random intercept: PHC.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960"/>
        <w:gridCol w:w="1266"/>
        <w:gridCol w:w="961"/>
        <w:gridCol w:w="1084"/>
        <w:gridCol w:w="1523"/>
        <w:gridCol w:w="1609"/>
        <w:gridCol w:w="1090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 / 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 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 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15.989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fac_absent_rate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0.502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facility_categoryIntervention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0.315</w:t>
            </w:r>
          </w:p>
        </w:tc>
      </w:tr>
      <w:tr>
        <w:trPr>
          <w:trHeight w:val="61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periodIntervention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0.583</w:t>
            </w:r>
          </w:p>
        </w:tc>
      </w:tr>
      <w:tr>
        <w:trPr>
          <w:trHeight w:val="61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month_num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0.208</w:t>
            </w:r>
          </w:p>
        </w:tc>
      </w:tr>
      <w:tr>
        <w:trPr>
          <w:trHeight w:val="614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lgaIgbo Etiti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0.184</w:t>
            </w:r>
          </w:p>
        </w:tc>
      </w:tr>
      <w:tr>
        <w:trPr>
          <w:trHeight w:val="61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lgaNkanu 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0.333</w:t>
            </w:r>
          </w:p>
        </w:tc>
      </w:tr>
      <w:tr>
        <w:trPr>
          <w:trHeight w:val="614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lgaNsukka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617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facility_categoryIntervention:periodIntervention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6.6 Ordinal logit Q72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19443"/>
      </w:tblGrid>
      <w:tr>
        <w:trPr>
          <w:trHeight w:val="57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Note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Ordinal logit on Q72 not run: outcome has only 1 realised category in n = 39 intervention respondents (e.g. 'Yes, significantly' for all). The DAP-specified model cannot be fitted with this distribution.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2026-05-06T22:57:07Z</dcterms:modified>
  <cp:category/>
</cp:coreProperties>
</file>