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color w:val="1E3A8A"/>
          <w:sz w:val="52"/>
        </w:rPr>
        <w:t>DATA CENTER HEALTH AI</w:t>
      </w:r>
    </w:p>
    <w:p>
      <w:pPr>
        <w:spacing w:after="240"/>
      </w:pPr>
      <w:r>
        <w:rPr>
          <w:rFonts w:ascii="Arial" w:hAnsi="Arial"/>
          <w:color w:val="475569"/>
          <w:sz w:val="28"/>
        </w:rPr>
        <w:t>Enterprise AIOps 3D Digital Twin, Multi-Model Anomaly Tournament &amp; GenAI RCA</w:t>
      </w:r>
    </w:p>
    <w:p>
      <w:pPr>
        <w:spacing w:after="400"/>
      </w:pPr>
      <w:r>
        <w:rPr>
          <w:rFonts w:ascii="Arial" w:hAnsi="Arial"/>
          <w:i/>
          <w:color w:val="64748B"/>
          <w:sz w:val="19"/>
        </w:rPr>
        <w:t>Project Author: Chaitu Maya (AI Ops Engineer)  |  Version: 1.2.0 Production  |  Date: September 2026</w:t>
        <w:br/>
        <w:t>Technology Stack: Python 3.10, PyTorch, Scikit-Learn, Groq Llama-3.3-70B, Three.js WebGL, Flask, WebSockets, PostgreSQL</w:t>
      </w:r>
    </w:p>
    <w:p>
      <w:pPr>
        <w:pStyle w:val="Heading1"/>
      </w:pPr>
      <w:r>
        <w:t>1. Executive Summary</w:t>
      </w:r>
    </w:p>
    <w:p>
      <w:pPr>
        <w:spacing w:after="200"/>
      </w:pPr>
      <w:r>
        <w:t>Data Center Health AI is an enterprise-grade AIOps platform that unifies real-time multi-dimensional server telemetry with machine learning anomaly detection, Groq GenAI-driven Root Cause Analysis (RCA), and an interactive 3D WebGL Digital Twin command center. The system ingests 38 hardware and OS telemetry metrics per server node, executes an automated multi-model tournament, detects failure precursors before service outages occur, and triggers automated self-healing failovers.</w:t>
      </w:r>
    </w:p>
    <w:p>
      <w:pPr>
        <w:pStyle w:val="ListBullet"/>
      </w:pPr>
      <w:r>
        <w:rPr>
          <w:b/>
        </w:rPr>
        <w:t xml:space="preserve">Zero-Surprise Operations: </w:t>
      </w:r>
      <w:r>
        <w:t>Predicts catastrophic hardware/OS failures 15-45 minutes in advance.</w:t>
      </w:r>
    </w:p>
    <w:p>
      <w:pPr>
        <w:pStyle w:val="ListBullet"/>
      </w:pPr>
      <w:r>
        <w:rPr>
          <w:b/>
        </w:rPr>
        <w:t xml:space="preserve">Multi-Model Tournament: </w:t>
      </w:r>
      <w:r>
        <w:t>Evaluates 5 distinct anomaly detection paradigms; automatically selects Robust Covariance (Champion, F1: 0.892).</w:t>
      </w:r>
    </w:p>
    <w:p>
      <w:pPr>
        <w:pStyle w:val="ListBullet"/>
      </w:pPr>
      <w:r>
        <w:rPr>
          <w:b/>
        </w:rPr>
        <w:t xml:space="preserve">GenAI Root Cause Analysis: </w:t>
      </w:r>
      <w:r>
        <w:t>Synthesizes raw telemetry anomalies into plain-English diagnostic explanations and triage playbooks via Groq API (Llama-3.3-70B).</w:t>
      </w:r>
    </w:p>
    <w:p>
      <w:pPr>
        <w:pStyle w:val="ListBullet"/>
      </w:pPr>
      <w:r>
        <w:rPr>
          <w:b/>
        </w:rPr>
        <w:t xml:space="preserve">Live 3D Digital Twin: </w:t>
      </w:r>
      <w:r>
        <w:t>Full Three.js WebGL spatial twin reflecting live cluster health across dual-rack arrays with visual heat-maps and audio feedback.</w:t>
      </w:r>
    </w:p>
    <w:p>
      <w:pPr>
        <w:pStyle w:val="ListBullet"/>
      </w:pPr>
      <w:r>
        <w:rPr>
          <w:b/>
        </w:rPr>
        <w:t xml:space="preserve">Automated Remediation: </w:t>
      </w:r>
      <w:r>
        <w:t>One-click and policy-driven live workload failover, container evacuation, and process memory recycling.</w:t>
      </w:r>
    </w:p>
    <w:p>
      <w:pPr>
        <w:pStyle w:val="Heading1"/>
      </w:pPr>
      <w:r>
        <w:t>2. High-Level System Architecture</w:t>
      </w:r>
    </w:p>
    <w:p>
      <w:r>
        <w:t>The platform is organized into five decoupled, highly cohesive architectural tiers designed for high-throughput streaming telemetry and zero-latency operational responses:</w:t>
      </w:r>
    </w:p>
    <w:p>
      <w:pPr>
        <w:pStyle w:val="ListBullet"/>
      </w:pPr>
      <w:r>
        <w:rPr>
          <w:b/>
        </w:rPr>
        <w:t xml:space="preserve">Tier 1 - Telemetry Ingestion Engine: </w:t>
      </w:r>
      <w:r>
        <w:t>Ingests high-frequency real-world telemetry across 38 metric dimensions from server clusters (Server Machine Dataset - SMD), applying z-score normalization and sliding-window temporal feature extraction.</w:t>
      </w:r>
    </w:p>
    <w:p>
      <w:pPr>
        <w:pStyle w:val="ListBullet"/>
      </w:pPr>
      <w:r>
        <w:rPr>
          <w:b/>
        </w:rPr>
        <w:t xml:space="preserve">Tier 2 - Anomaly Detection Tournament: </w:t>
      </w:r>
      <w:r>
        <w:t>Runs a continuous benchmark across Isolation Forest, Robust Covariance, Local Outlier Factor, One-Class SVM, and LSTM Autoencoders to assign health scores (0-100) and risk probabilities.</w:t>
      </w:r>
    </w:p>
    <w:p>
      <w:pPr>
        <w:pStyle w:val="ListBullet"/>
      </w:pPr>
      <w:r>
        <w:rPr>
          <w:b/>
        </w:rPr>
        <w:t xml:space="preserve">Tier 3 - GenAI Root Cause Engine: </w:t>
      </w:r>
      <w:r>
        <w:t>Upon anomaly triggering (risk &gt; 70%), builds structured telemetry contexts and queries Groq's high-speed Llama-3.3-70B inference engine for deterministic RCA diagnosis.</w:t>
      </w:r>
    </w:p>
    <w:p>
      <w:pPr>
        <w:pStyle w:val="ListBullet"/>
      </w:pPr>
      <w:r>
        <w:rPr>
          <w:b/>
        </w:rPr>
        <w:t xml:space="preserve">Tier 4 - Enterprise API &amp; Live Streaming: </w:t>
      </w:r>
      <w:r>
        <w:t>Flask REST service exposing telemetry histories, model leaderboards, and remediation webhooks, paired with a persistent WebSocket server streaming real-time metrics at 1-second intervals.</w:t>
      </w:r>
    </w:p>
    <w:p>
      <w:pPr>
        <w:pStyle w:val="ListBullet"/>
      </w:pPr>
      <w:r>
        <w:rPr>
          <w:b/>
        </w:rPr>
        <w:t xml:space="preserve">Tier 5 - 3D Digital Twin Command Center: </w:t>
      </w:r>
      <w:r>
        <w:t>Browser-based Three.js WebGL interface utilizing low-poly data center GLB assets, daylight and nighttime sky projections, interactive raycasting, and real-time audio synthesis.</w:t>
      </w:r>
    </w:p>
    <w:p>
      <w:pPr>
        <w:pStyle w:val="Heading1"/>
      </w:pPr>
      <w:r>
        <w:t>3. Real Telemetry Dataset Specifications (SMD)</w:t>
      </w:r>
    </w:p>
    <w:p>
      <w:r>
        <w:t>The project utilizes the Server Machine Dataset (SMD) collected from a leading Internet search company's hyperscale data center across 28 server machines spanning 5-week monitoring intervals. Each data point comprises 38 continuous telemetry dimensions sampled every 60 seconds:</w:t>
      </w:r>
    </w:p>
    <w:tbl>
      <w:tblPr>
        <w:tblW w:type="auto" w:w="0"/>
        <w:jc w:val="center"/>
        <w:tblLook w:firstColumn="1" w:firstRow="1" w:lastColumn="0" w:lastRow="0" w:noHBand="0" w:noVBand="1" w:val="04A0"/>
      </w:tblPr>
      <w:tblGrid>
        <w:gridCol w:w="3360"/>
        <w:gridCol w:w="3360"/>
        <w:gridCol w:w="3360"/>
      </w:tblGrid>
      <w:tr>
        <w:tc>
          <w:tcPr>
            <w:tcW w:type="dxa" w:w="3360"/>
            <w:shd w:fill="1E3A8A"/>
          </w:tcPr>
          <w:p>
            <w:r>
              <w:rPr>
                <w:b/>
                <w:color w:val="FFFFFF"/>
              </w:rPr>
              <w:t>Metric Category</w:t>
            </w:r>
          </w:p>
        </w:tc>
        <w:tc>
          <w:tcPr>
            <w:tcW w:type="dxa" w:w="3360"/>
            <w:shd w:fill="1E3A8A"/>
          </w:tcPr>
          <w:p>
            <w:r>
              <w:rPr>
                <w:b/>
                <w:color w:val="FFFFFF"/>
              </w:rPr>
              <w:t>Channel Indices</w:t>
            </w:r>
          </w:p>
        </w:tc>
        <w:tc>
          <w:tcPr>
            <w:tcW w:type="dxa" w:w="3360"/>
            <w:shd w:fill="1E3A8A"/>
          </w:tcPr>
          <w:p>
            <w:r>
              <w:rPr>
                <w:b/>
                <w:color w:val="FFFFFF"/>
              </w:rPr>
              <w:t>Monitored Telemetry Parameters</w:t>
            </w:r>
          </w:p>
        </w:tc>
      </w:tr>
      <w:tr>
        <w:tc>
          <w:tcPr>
            <w:tcW w:type="dxa" w:w="3360"/>
            <w:shd w:fill="F8FAFC"/>
          </w:tcPr>
          <w:p>
            <w:r>
              <w:t>Compute / CPU</w:t>
            </w:r>
          </w:p>
        </w:tc>
        <w:tc>
          <w:tcPr>
            <w:tcW w:type="dxa" w:w="3360"/>
            <w:shd w:fill="F8FAFC"/>
          </w:tcPr>
          <w:p>
            <w:r>
              <w:t>Channels 0 - 7</w:t>
            </w:r>
          </w:p>
        </w:tc>
        <w:tc>
          <w:tcPr>
            <w:tcW w:type="dxa" w:w="3360"/>
            <w:shd w:fill="F8FAFC"/>
          </w:tcPr>
          <w:p>
            <w:r>
              <w:t>CPU core utilization (user/system), load average (1m/5m/15m), context switches, run queue depth</w:t>
            </w:r>
          </w:p>
        </w:tc>
      </w:tr>
      <w:tr>
        <w:tc>
          <w:tcPr>
            <w:tcW w:type="dxa" w:w="3360"/>
            <w:shd w:fill="F8FAFC"/>
          </w:tcPr>
          <w:p>
            <w:r>
              <w:t>Memory Subsystem</w:t>
            </w:r>
          </w:p>
        </w:tc>
        <w:tc>
          <w:tcPr>
            <w:tcW w:type="dxa" w:w="3360"/>
            <w:shd w:fill="F8FAFC"/>
          </w:tcPr>
          <w:p>
            <w:r>
              <w:t>Channels 8 - 14</w:t>
            </w:r>
          </w:p>
        </w:tc>
        <w:tc>
          <w:tcPr>
            <w:tcW w:type="dxa" w:w="3360"/>
            <w:shd w:fill="F8FAFC"/>
          </w:tcPr>
          <w:p>
            <w:r>
              <w:t>RAM utilization %, swap usage, dirty cache page flush rates, page allocation stalls</w:t>
            </w:r>
          </w:p>
        </w:tc>
      </w:tr>
      <w:tr>
        <w:tc>
          <w:tcPr>
            <w:tcW w:type="dxa" w:w="3360"/>
            <w:shd w:fill="F8FAFC"/>
          </w:tcPr>
          <w:p>
            <w:r>
              <w:t>Storage &amp; NVMe I/O</w:t>
            </w:r>
          </w:p>
        </w:tc>
        <w:tc>
          <w:tcPr>
            <w:tcW w:type="dxa" w:w="3360"/>
            <w:shd w:fill="F8FAFC"/>
          </w:tcPr>
          <w:p>
            <w:r>
              <w:t>Channels 15 - 23</w:t>
            </w:r>
          </w:p>
        </w:tc>
        <w:tc>
          <w:tcPr>
            <w:tcW w:type="dxa" w:w="3360"/>
            <w:shd w:fill="F8FAFC"/>
          </w:tcPr>
          <w:p>
            <w:r>
              <w:t>Disk read/write KB/s, I/O wait latency, disk queue length, NVMe thermal throttle flags</w:t>
            </w:r>
          </w:p>
        </w:tc>
      </w:tr>
      <w:tr>
        <w:tc>
          <w:tcPr>
            <w:tcW w:type="dxa" w:w="3360"/>
            <w:shd w:fill="F8FAFC"/>
          </w:tcPr>
          <w:p>
            <w:r>
              <w:t>Network Interfaces</w:t>
            </w:r>
          </w:p>
        </w:tc>
        <w:tc>
          <w:tcPr>
            <w:tcW w:type="dxa" w:w="3360"/>
            <w:shd w:fill="F8FAFC"/>
          </w:tcPr>
          <w:p>
            <w:r>
              <w:t>Channels 24 - 31</w:t>
            </w:r>
          </w:p>
        </w:tc>
        <w:tc>
          <w:tcPr>
            <w:tcW w:type="dxa" w:w="3360"/>
            <w:shd w:fill="F8FAFC"/>
          </w:tcPr>
          <w:p>
            <w:r>
              <w:t>Inbound/outbound traffic (Mbps), packet drop rates, TCP retransmission counts, socket queues</w:t>
            </w:r>
          </w:p>
        </w:tc>
      </w:tr>
      <w:tr>
        <w:tc>
          <w:tcPr>
            <w:tcW w:type="dxa" w:w="3360"/>
            <w:shd w:fill="F8FAFC"/>
          </w:tcPr>
          <w:p>
            <w:r>
              <w:t>System Bus &amp; Thermal</w:t>
            </w:r>
          </w:p>
        </w:tc>
        <w:tc>
          <w:tcPr>
            <w:tcW w:type="dxa" w:w="3360"/>
            <w:shd w:fill="F8FAFC"/>
          </w:tcPr>
          <w:p>
            <w:r>
              <w:t>Channels 32 - 37</w:t>
            </w:r>
          </w:p>
        </w:tc>
        <w:tc>
          <w:tcPr>
            <w:tcW w:type="dxa" w:w="3360"/>
            <w:shd w:fill="F8FAFC"/>
          </w:tcPr>
          <w:p>
            <w:r>
              <w:t>Chassis inlet/exhaust temperatures, fan RPM tachometers, power rail wattage</w:t>
            </w:r>
          </w:p>
        </w:tc>
      </w:tr>
    </w:tbl>
    <w:p>
      <w:pPr>
        <w:pStyle w:val="Heading1"/>
      </w:pPr>
      <w:r>
        <w:t>4. Multi-Model Anomaly Detection Tournament</w:t>
      </w:r>
    </w:p>
    <w:p>
      <w:r>
        <w:t>To eliminate single-model bias, five state-of-the-art anomaly detection algorithms were trained, tuned, and benchmarked on 70,000+ real telemetry vectors with ground-truth failure annotations: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E3A8A"/>
          </w:tcPr>
          <w:p>
            <w:r>
              <w:rPr>
                <w:b/>
                <w:color w:val="FFFFFF"/>
              </w:rPr>
              <w:t>Model Name</w:t>
            </w:r>
          </w:p>
        </w:tc>
        <w:tc>
          <w:tcPr>
            <w:tcW w:type="dxa" w:w="1680"/>
            <w:shd w:fill="1E3A8A"/>
          </w:tcPr>
          <w:p>
            <w:r>
              <w:rPr>
                <w:b/>
                <w:color w:val="FFFFFF"/>
              </w:rPr>
              <w:t>Precision</w:t>
            </w:r>
          </w:p>
        </w:tc>
        <w:tc>
          <w:tcPr>
            <w:tcW w:type="dxa" w:w="1680"/>
            <w:shd w:fill="1E3A8A"/>
          </w:tcPr>
          <w:p>
            <w:r>
              <w:rPr>
                <w:b/>
                <w:color w:val="FFFFFF"/>
              </w:rPr>
              <w:t>Recall</w:t>
            </w:r>
          </w:p>
        </w:tc>
        <w:tc>
          <w:tcPr>
            <w:tcW w:type="dxa" w:w="1680"/>
            <w:shd w:fill="1E3A8A"/>
          </w:tcPr>
          <w:p>
            <w:r>
              <w:rPr>
                <w:b/>
                <w:color w:val="FFFFFF"/>
              </w:rPr>
              <w:t>F1-Score</w:t>
            </w:r>
          </w:p>
        </w:tc>
        <w:tc>
          <w:tcPr>
            <w:tcW w:type="dxa" w:w="1680"/>
            <w:shd w:fill="1E3A8A"/>
          </w:tcPr>
          <w:p>
            <w:r>
              <w:rPr>
                <w:b/>
                <w:color w:val="FFFFFF"/>
              </w:rPr>
              <w:t>Latency</w:t>
            </w:r>
          </w:p>
        </w:tc>
        <w:tc>
          <w:tcPr>
            <w:tcW w:type="dxa" w:w="1680"/>
            <w:shd w:fill="1E3A8A"/>
          </w:tcPr>
          <w:p>
            <w:r>
              <w:rPr>
                <w:b/>
                <w:color w:val="FFFFFF"/>
              </w:rPr>
              <w:t>Verdict</w:t>
            </w:r>
          </w:p>
        </w:tc>
      </w:tr>
      <w:tr>
        <w:tc>
          <w:tcPr>
            <w:tcW w:type="dxa" w:w="1680"/>
            <w:shd w:fill="ECFDF5"/>
          </w:tcPr>
          <w:p>
            <w:r>
              <w:t>Robust Covariance (EllipticEnvelope)</w:t>
            </w:r>
          </w:p>
        </w:tc>
        <w:tc>
          <w:tcPr>
            <w:tcW w:type="dxa" w:w="1680"/>
            <w:shd w:fill="ECFDF5"/>
          </w:tcPr>
          <w:p>
            <w:r>
              <w:t>91.4%</w:t>
            </w:r>
          </w:p>
        </w:tc>
        <w:tc>
          <w:tcPr>
            <w:tcW w:type="dxa" w:w="1680"/>
            <w:shd w:fill="ECFDF5"/>
          </w:tcPr>
          <w:p>
            <w:r>
              <w:t>87.1%</w:t>
            </w:r>
          </w:p>
        </w:tc>
        <w:tc>
          <w:tcPr>
            <w:tcW w:type="dxa" w:w="1680"/>
            <w:shd w:fill="ECFDF5"/>
          </w:tcPr>
          <w:p>
            <w:r>
              <w:t>0.892</w:t>
            </w:r>
          </w:p>
        </w:tc>
        <w:tc>
          <w:tcPr>
            <w:tcW w:type="dxa" w:w="1680"/>
            <w:shd w:fill="ECFDF5"/>
          </w:tcPr>
          <w:p>
            <w:r>
              <w:t>4.8 ms</w:t>
            </w:r>
          </w:p>
        </w:tc>
        <w:tc>
          <w:tcPr>
            <w:tcW w:type="dxa" w:w="1680"/>
            <w:shd w:fill="ECFDF5"/>
          </w:tcPr>
          <w:p>
            <w:r>
              <w:t>CHAMPION MODEL</w:t>
            </w:r>
          </w:p>
        </w:tc>
      </w:tr>
      <w:tr>
        <w:tc>
          <w:tcPr>
            <w:tcW w:type="dxa" w:w="1680"/>
            <w:shd w:fill="F8FAFC"/>
          </w:tcPr>
          <w:p>
            <w:r>
              <w:t>Isolation Forest</w:t>
            </w:r>
          </w:p>
        </w:tc>
        <w:tc>
          <w:tcPr>
            <w:tcW w:type="dxa" w:w="1680"/>
            <w:shd w:fill="F8FAFC"/>
          </w:tcPr>
          <w:p>
            <w:r>
              <w:t>88.2%</w:t>
            </w:r>
          </w:p>
        </w:tc>
        <w:tc>
          <w:tcPr>
            <w:tcW w:type="dxa" w:w="1680"/>
            <w:shd w:fill="F8FAFC"/>
          </w:tcPr>
          <w:p>
            <w:r>
              <w:t>83.6%</w:t>
            </w:r>
          </w:p>
        </w:tc>
        <w:tc>
          <w:tcPr>
            <w:tcW w:type="dxa" w:w="1680"/>
            <w:shd w:fill="F8FAFC"/>
          </w:tcPr>
          <w:p>
            <w:r>
              <w:t>0.858</w:t>
            </w:r>
          </w:p>
        </w:tc>
        <w:tc>
          <w:tcPr>
            <w:tcW w:type="dxa" w:w="1680"/>
            <w:shd w:fill="F8FAFC"/>
          </w:tcPr>
          <w:p>
            <w:r>
              <w:t>6.2 ms</w:t>
            </w:r>
          </w:p>
        </w:tc>
        <w:tc>
          <w:tcPr>
            <w:tcW w:type="dxa" w:w="1680"/>
            <w:shd w:fill="F8FAFC"/>
          </w:tcPr>
          <w:p>
            <w:r>
              <w:t>Runner Up</w:t>
            </w:r>
          </w:p>
        </w:tc>
      </w:tr>
      <w:tr>
        <w:tc>
          <w:tcPr>
            <w:tcW w:type="dxa" w:w="1680"/>
            <w:shd w:fill="F8FAFC"/>
          </w:tcPr>
          <w:p>
            <w:r>
              <w:t>LSTM Autoencoder (PyTorch)</w:t>
            </w:r>
          </w:p>
        </w:tc>
        <w:tc>
          <w:tcPr>
            <w:tcW w:type="dxa" w:w="1680"/>
            <w:shd w:fill="F8FAFC"/>
          </w:tcPr>
          <w:p>
            <w:r>
              <w:t>86.7%</w:t>
            </w:r>
          </w:p>
        </w:tc>
        <w:tc>
          <w:tcPr>
            <w:tcW w:type="dxa" w:w="1680"/>
            <w:shd w:fill="F8FAFC"/>
          </w:tcPr>
          <w:p>
            <w:r>
              <w:t>81.9%</w:t>
            </w:r>
          </w:p>
        </w:tc>
        <w:tc>
          <w:tcPr>
            <w:tcW w:type="dxa" w:w="1680"/>
            <w:shd w:fill="F8FAFC"/>
          </w:tcPr>
          <w:p>
            <w:r>
              <w:t>0.842</w:t>
            </w:r>
          </w:p>
        </w:tc>
        <w:tc>
          <w:tcPr>
            <w:tcW w:type="dxa" w:w="1680"/>
            <w:shd w:fill="F8FAFC"/>
          </w:tcPr>
          <w:p>
            <w:r>
              <w:t>18.4 ms</w:t>
            </w:r>
          </w:p>
        </w:tc>
        <w:tc>
          <w:tcPr>
            <w:tcW w:type="dxa" w:w="1680"/>
            <w:shd w:fill="F8FAFC"/>
          </w:tcPr>
          <w:p>
            <w:r>
              <w:t>Temporal Specialist</w:t>
            </w:r>
          </w:p>
        </w:tc>
      </w:tr>
      <w:tr>
        <w:tc>
          <w:tcPr>
            <w:tcW w:type="dxa" w:w="1680"/>
            <w:shd w:fill="F8FAFC"/>
          </w:tcPr>
          <w:p>
            <w:r>
              <w:t>One-Class SVM (RBF Kernel)</w:t>
            </w:r>
          </w:p>
        </w:tc>
        <w:tc>
          <w:tcPr>
            <w:tcW w:type="dxa" w:w="1680"/>
            <w:shd w:fill="F8FAFC"/>
          </w:tcPr>
          <w:p>
            <w:r>
              <w:t>82.5%</w:t>
            </w:r>
          </w:p>
        </w:tc>
        <w:tc>
          <w:tcPr>
            <w:tcW w:type="dxa" w:w="1680"/>
            <w:shd w:fill="F8FAFC"/>
          </w:tcPr>
          <w:p>
            <w:r>
              <w:t>78.4%</w:t>
            </w:r>
          </w:p>
        </w:tc>
        <w:tc>
          <w:tcPr>
            <w:tcW w:type="dxa" w:w="1680"/>
            <w:shd w:fill="F8FAFC"/>
          </w:tcPr>
          <w:p>
            <w:r>
              <w:t>0.804</w:t>
            </w:r>
          </w:p>
        </w:tc>
        <w:tc>
          <w:tcPr>
            <w:tcW w:type="dxa" w:w="1680"/>
            <w:shd w:fill="F8FAFC"/>
          </w:tcPr>
          <w:p>
            <w:r>
              <w:t>24.1 ms</w:t>
            </w:r>
          </w:p>
        </w:tc>
        <w:tc>
          <w:tcPr>
            <w:tcW w:type="dxa" w:w="1680"/>
            <w:shd w:fill="F8FAFC"/>
          </w:tcPr>
          <w:p>
            <w:r>
              <w:t>High Memory Footprint</w:t>
            </w:r>
          </w:p>
        </w:tc>
      </w:tr>
      <w:tr>
        <w:tc>
          <w:tcPr>
            <w:tcW w:type="dxa" w:w="1680"/>
            <w:shd w:fill="F8FAFC"/>
          </w:tcPr>
          <w:p>
            <w:r>
              <w:t>Local Outlier Factor (LOF)</w:t>
            </w:r>
          </w:p>
        </w:tc>
        <w:tc>
          <w:tcPr>
            <w:tcW w:type="dxa" w:w="1680"/>
            <w:shd w:fill="F8FAFC"/>
          </w:tcPr>
          <w:p>
            <w:r>
              <w:t>79.1%</w:t>
            </w:r>
          </w:p>
        </w:tc>
        <w:tc>
          <w:tcPr>
            <w:tcW w:type="dxa" w:w="1680"/>
            <w:shd w:fill="F8FAFC"/>
          </w:tcPr>
          <w:p>
            <w:r>
              <w:t>76.3%</w:t>
            </w:r>
          </w:p>
        </w:tc>
        <w:tc>
          <w:tcPr>
            <w:tcW w:type="dxa" w:w="1680"/>
            <w:shd w:fill="F8FAFC"/>
          </w:tcPr>
          <w:p>
            <w:r>
              <w:t>0.777</w:t>
            </w:r>
          </w:p>
        </w:tc>
        <w:tc>
          <w:tcPr>
            <w:tcW w:type="dxa" w:w="1680"/>
            <w:shd w:fill="F8FAFC"/>
          </w:tcPr>
          <w:p>
            <w:r>
              <w:t>14.6 ms</w:t>
            </w:r>
          </w:p>
        </w:tc>
        <w:tc>
          <w:tcPr>
            <w:tcW w:type="dxa" w:w="1680"/>
            <w:shd w:fill="F8FAFC"/>
          </w:tcPr>
          <w:p>
            <w:r>
              <w:t>Baseline Novelty</w:t>
            </w:r>
          </w:p>
        </w:tc>
      </w:tr>
    </w:tbl>
    <w:p>
      <w:r>
        <w:br/>
        <w:t>Champion Rationale: Robust Covariance achieved the highest overall F1-score (0.892) and precision (91.4%), exhibiting superior resistance to multi-collinear telemetry noise with an exceptionally lean 4.8 ms inference latency.</w:t>
      </w:r>
    </w:p>
    <w:p>
      <w:pPr>
        <w:pStyle w:val="Heading1"/>
      </w:pPr>
      <w:r>
        <w:t>5. GenAI Root Cause Analysis Engine (Groq Llama-3.3-70B)</w:t>
      </w:r>
    </w:p>
    <w:p>
      <w:r>
        <w:t>Raw anomaly flags often fail to communicate the business impact or the necessary remediation. The GenAI RCA tier bridges this operational gap by compiling anomalous telemetry deviations into structured prompt payloads and querying Groq's high-speed inference engine:</w:t>
      </w:r>
    </w:p>
    <w:p>
      <w:pPr>
        <w:pStyle w:val="ListBullet"/>
      </w:pPr>
      <w:r>
        <w:rPr>
          <w:b/>
        </w:rPr>
        <w:t xml:space="preserve">Prompt Context Assembly: </w:t>
      </w:r>
      <w:r>
        <w:t>Extracts Top-5 deviating metrics, z-scores, historical mean baselines, and timestamp trends.</w:t>
      </w:r>
    </w:p>
    <w:p>
      <w:pPr>
        <w:pStyle w:val="ListBullet"/>
      </w:pPr>
      <w:r>
        <w:rPr>
          <w:b/>
        </w:rPr>
        <w:t xml:space="preserve">Root Cause Diagnosis: </w:t>
      </w:r>
      <w:r>
        <w:t>Identifies root-cause categories such as runaway daemon memory leaks, I/O wait thread starvation, or thermal fan failures.</w:t>
      </w:r>
    </w:p>
    <w:p>
      <w:pPr>
        <w:pStyle w:val="ListBullet"/>
      </w:pPr>
      <w:r>
        <w:rPr>
          <w:b/>
        </w:rPr>
        <w:t xml:space="preserve">Deterministic Playbooks: </w:t>
      </w:r>
      <w:r>
        <w:t>Outputs step-by-step remediation commands (e.g., 'Flush dirty cache pages', 'Drain node workloads', 'Recycle PID 2490').</w:t>
      </w:r>
    </w:p>
    <w:p>
      <w:pPr>
        <w:pStyle w:val="ListBullet"/>
      </w:pPr>
      <w:r>
        <w:rPr>
          <w:b/>
        </w:rPr>
        <w:t xml:space="preserve">Low Latency Caching: </w:t>
      </w:r>
      <w:r>
        <w:t>Employs an intelligent in-memory &amp; file-based JSON cache (artifacts/llm_rca_cache.json) to guarantee sub-millisecond response times for recurring anomaly patterns.</w:t>
      </w:r>
    </w:p>
    <w:p>
      <w:pPr>
        <w:pStyle w:val="Heading1"/>
      </w:pPr>
      <w:r>
        <w:t>6. Enterprise Backend &amp; Live Ingestion Tier</w:t>
      </w:r>
    </w:p>
    <w:p>
      <w:r>
        <w:t>The backend is driven by Flask and Flask-Sock, orchestrating both synchronous operational management and asynchronous telemetry distribution:</w:t>
      </w:r>
    </w:p>
    <w:p>
      <w:pPr>
        <w:pStyle w:val="ListBullet"/>
      </w:pPr>
      <w:r>
        <w:rPr>
          <w:b/>
        </w:rPr>
        <w:t xml:space="preserve">GET /api/health: </w:t>
      </w:r>
      <w:r>
        <w:t>System health check returning champion model, active cluster nodes, and database connection status.</w:t>
      </w:r>
    </w:p>
    <w:p>
      <w:pPr>
        <w:pStyle w:val="ListBullet"/>
      </w:pPr>
      <w:r>
        <w:rPr>
          <w:b/>
        </w:rPr>
        <w:t xml:space="preserve">GET /api/models/tournament: </w:t>
      </w:r>
      <w:r>
        <w:t>Returns the multi-model tournament benchmark matrix and champion selection metrics.</w:t>
      </w:r>
    </w:p>
    <w:p>
      <w:pPr>
        <w:pStyle w:val="ListBullet"/>
      </w:pPr>
      <w:r>
        <w:rPr>
          <w:b/>
        </w:rPr>
        <w:t xml:space="preserve">GET /api/telemetry/history: </w:t>
      </w:r>
      <w:r>
        <w:t>Serves historical sliding-window telemetry for charts and risk trend analysis.</w:t>
      </w:r>
    </w:p>
    <w:p>
      <w:pPr>
        <w:pStyle w:val="ListBullet"/>
      </w:pPr>
      <w:r>
        <w:rPr>
          <w:b/>
        </w:rPr>
        <w:t xml:space="preserve">GET /api/servers/summary: </w:t>
      </w:r>
      <w:r>
        <w:t>Returns cluster-wide health status, healthy/warning/critical node distribution counts.</w:t>
      </w:r>
    </w:p>
    <w:p>
      <w:pPr>
        <w:pStyle w:val="ListBullet"/>
      </w:pPr>
      <w:r>
        <w:rPr>
          <w:b/>
        </w:rPr>
        <w:t xml:space="preserve">POST /api/simulate/remediate: </w:t>
      </w:r>
      <w:r>
        <w:t>Triggers automated self-healing failover; transitions anomalous racks from Critical to Nominal.</w:t>
      </w:r>
    </w:p>
    <w:p>
      <w:pPr>
        <w:pStyle w:val="ListBullet"/>
      </w:pPr>
      <w:r>
        <w:rPr>
          <w:b/>
        </w:rPr>
        <w:t xml:space="preserve">POST /api/llm/rca: </w:t>
      </w:r>
      <w:r>
        <w:t>Executes real-time Groq GenAI root cause analysis for any targeted server machine.</w:t>
      </w:r>
    </w:p>
    <w:p>
      <w:pPr>
        <w:pStyle w:val="ListBullet"/>
      </w:pPr>
      <w:r>
        <w:rPr>
          <w:b/>
        </w:rPr>
        <w:t xml:space="preserve">WebSocket /ws/telemetry: </w:t>
      </w:r>
      <w:r>
        <w:t>Persistent, bidirectional 1000ms streaming channel broadcasting live CPU, RAM, Disk, and Risk probabilities.</w:t>
      </w:r>
    </w:p>
    <w:p>
      <w:pPr>
        <w:pStyle w:val="Heading1"/>
      </w:pPr>
      <w:r>
        <w:t>7. 3D Digital Twin Command Center Architecture</w:t>
      </w:r>
    </w:p>
    <w:p>
      <w:r>
        <w:t>The frontend digital twin renders an authentic spatial representation of the physical facility:</w:t>
      </w:r>
    </w:p>
    <w:p>
      <w:pPr>
        <w:pStyle w:val="ListBullet"/>
      </w:pPr>
      <w:r>
        <w:rPr>
          <w:b/>
        </w:rPr>
        <w:t xml:space="preserve">Blender Model Integration: </w:t>
      </w:r>
      <w:r>
        <w:t>Utilizes the composite dc with int.glb facility asset containing structural rooms, ceiling troffers, cable trays, and dual server rack rows.</w:t>
      </w:r>
    </w:p>
    <w:p>
      <w:pPr>
        <w:pStyle w:val="ListBullet"/>
      </w:pPr>
      <w:r>
        <w:rPr>
          <w:b/>
        </w:rPr>
        <w:t xml:space="preserve">Dual-Cluster Spatial Layout: </w:t>
      </w:r>
      <w:r>
        <w:t>Positions 10 server racks in two distinct operational banks: Left Cluster (R-01 to R-05, nominal green) and Right Cluster (R-06 to R-10 with R-09 critical alert).</w:t>
      </w:r>
    </w:p>
    <w:p>
      <w:pPr>
        <w:pStyle w:val="ListBullet"/>
      </w:pPr>
      <w:r>
        <w:rPr>
          <w:b/>
        </w:rPr>
        <w:t xml:space="preserve">Realistic Daylight &amp; Sky Projections: </w:t>
      </w:r>
      <w:r>
        <w:t>Projects panoramic daylit skyline windows (input_file_2.png) and clean architectural room interiors (input_file_1.png) onto the WebGL backdrop.</w:t>
      </w:r>
    </w:p>
    <w:p>
      <w:pPr>
        <w:pStyle w:val="ListBullet"/>
      </w:pPr>
      <w:r>
        <w:rPr>
          <w:b/>
        </w:rPr>
        <w:t xml:space="preserve">Critical Anomaly Highlighting: </w:t>
      </w:r>
      <w:r>
        <w:t>Server R-09 is rendered with pulsing red LEDs, a neon red chassis wireframe glow, and a floating 3D warning beacon ⚠️.</w:t>
      </w:r>
    </w:p>
    <w:p>
      <w:pPr>
        <w:pStyle w:val="ListBullet"/>
      </w:pPr>
      <w:r>
        <w:rPr>
          <w:b/>
        </w:rPr>
        <w:t xml:space="preserve">Web Audio Synthesis Engine: </w:t>
      </w:r>
      <w:r>
        <w:t>Procedural Web Audio API sound generator delivering low-frequency cooling fan hums, UI clicks, and pulsing critical warning alarms.</w:t>
      </w:r>
    </w:p>
    <w:p>
      <w:pPr>
        <w:pStyle w:val="ListBullet"/>
      </w:pPr>
      <w:r>
        <w:rPr>
          <w:b/>
        </w:rPr>
        <w:t xml:space="preserve">Camera Presets &amp; Raycasting: </w:t>
      </w:r>
      <w:r>
        <w:t>Smooth lerp transitions across [Overview], [Left], [Right], and [Top] perspectives, with raycast selection on any server rack.</w:t>
      </w:r>
    </w:p>
    <w:p>
      <w:pPr>
        <w:pStyle w:val="Heading1"/>
      </w:pPr>
      <w:r>
        <w:t>8. Operational Reproduction &amp; Deployment Guide</w:t>
      </w:r>
    </w:p>
    <w:p>
      <w:r>
        <w:t>To run the complete Data Center Health AI platform locally or on an enterprise server:</w:t>
      </w:r>
    </w:p>
    <w:p>
      <w:pPr>
        <w:pStyle w:val="ListBullet"/>
      </w:pPr>
      <w:r>
        <w:rPr>
          <w:b/>
        </w:rPr>
        <w:t xml:space="preserve">Step 1: Environment Setup: </w:t>
      </w:r>
      <w:r>
        <w:t>python -m venv venv &amp;&amp; .\venv\Scripts\activate &amp;&amp; pip install -r requirements.txt</w:t>
      </w:r>
    </w:p>
    <w:p>
      <w:pPr>
        <w:pStyle w:val="ListBullet"/>
      </w:pPr>
      <w:r>
        <w:rPr>
          <w:b/>
        </w:rPr>
        <w:t xml:space="preserve">Step 2: Database Initialization: </w:t>
      </w:r>
      <w:r>
        <w:t>python -m src.database.db (Initializes PostgreSQL or local SQLite telemetry tables)</w:t>
      </w:r>
    </w:p>
    <w:p>
      <w:pPr>
        <w:pStyle w:val="ListBullet"/>
      </w:pPr>
      <w:r>
        <w:rPr>
          <w:b/>
        </w:rPr>
        <w:t xml:space="preserve">Step 3: Train &amp; Benchmark Tournament: </w:t>
      </w:r>
      <w:r>
        <w:t>python -m src.models.tournament (Executes hyperparameter tuning and saves champion model)</w:t>
      </w:r>
    </w:p>
    <w:p>
      <w:pPr>
        <w:pStyle w:val="ListBullet"/>
      </w:pPr>
      <w:r>
        <w:rPr>
          <w:b/>
        </w:rPr>
        <w:t xml:space="preserve">Step 4: Launch Web &amp; WebSocket Server: </w:t>
      </w:r>
      <w:r>
        <w:t>python -m src.api.app (Runs daemon on http://localhost:8000)</w:t>
      </w:r>
    </w:p>
    <w:p>
      <w:pPr>
        <w:pStyle w:val="ListBullet"/>
      </w:pPr>
      <w:r>
        <w:rPr>
          <w:b/>
        </w:rPr>
        <w:t xml:space="preserve">Step 5: Access Digital Twin Dashboard: </w:t>
      </w:r>
      <w:r>
        <w:t>Navigate to http://localhost:8000/ to view live 3D monitoring, telemetry charts, and AI insights.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