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36F3" w14:textId="77777777" w:rsidR="00202770" w:rsidRPr="00202770" w:rsidRDefault="00202770" w:rsidP="00202770">
      <w:pPr>
        <w:rPr>
          <w:b/>
          <w:bCs/>
        </w:rPr>
      </w:pPr>
      <w:r w:rsidRPr="00202770">
        <w:rPr>
          <w:b/>
          <w:bCs/>
        </w:rPr>
        <w:t>Slide 1 — Introduction</w:t>
      </w:r>
    </w:p>
    <w:p w14:paraId="111E0603" w14:textId="77777777" w:rsidR="00202770" w:rsidRPr="00202770" w:rsidRDefault="00202770" w:rsidP="00202770">
      <w:r w:rsidRPr="00202770">
        <w:rPr>
          <w:b/>
          <w:bCs/>
        </w:rPr>
        <w:t>Target time: 1 minute</w:t>
      </w:r>
    </w:p>
    <w:p w14:paraId="47D94CC6" w14:textId="77777777" w:rsidR="00202770" w:rsidRPr="00202770" w:rsidRDefault="00202770" w:rsidP="00202770">
      <w:r w:rsidRPr="00202770">
        <w:t xml:space="preserve">Good afternoon. We’re Shane Dunkle and Richard Pollitt, and our project is </w:t>
      </w:r>
      <w:r w:rsidRPr="00202770">
        <w:rPr>
          <w:i/>
          <w:iCs/>
        </w:rPr>
        <w:t>Uncertainty-Aware Modeling of Second-Language Acquisition</w:t>
      </w:r>
      <w:r w:rsidRPr="00202770">
        <w:t>.</w:t>
      </w:r>
    </w:p>
    <w:p w14:paraId="76631DCB" w14:textId="77777777" w:rsidR="00202770" w:rsidRPr="00202770" w:rsidRDefault="00202770" w:rsidP="00202770">
      <w:r w:rsidRPr="00202770">
        <w:t>Adaptive language-learning systems must continually decide what exercise to present next. To make that decision well, a tutor needs to anticipate when a learner is likely to struggle. But predicting an error is only part of the problem. A confidently incorrect prediction can waste the learner’s time or incorrectly diagnose what they understand.</w:t>
      </w:r>
    </w:p>
    <w:p w14:paraId="537AFB17" w14:textId="77777777" w:rsidR="00202770" w:rsidRPr="00202770" w:rsidRDefault="00202770" w:rsidP="00202770">
      <w:r w:rsidRPr="00202770">
        <w:t>Our project therefore asks two related questions: Can we predict the probability that a learner answers an exercise token incorrectly, and can the model recognize when that prediction should not be trusted?</w:t>
      </w:r>
    </w:p>
    <w:p w14:paraId="2FFF956C" w14:textId="77777777" w:rsidR="00202770" w:rsidRPr="00202770" w:rsidRDefault="00202770" w:rsidP="00202770">
      <w:r w:rsidRPr="00202770">
        <w:t xml:space="preserve">We approach this as a Bayesian modeling problem. Instead of producing only a point prediction, our system produces a probability distribution that represents uncertainty about the learner, the exercise, and the model itself. The larger goal is what we describe </w:t>
      </w:r>
      <w:proofErr w:type="spellStart"/>
      <w:r w:rsidRPr="00202770">
        <w:t>here</w:t>
      </w:r>
      <w:proofErr w:type="spellEnd"/>
      <w:r w:rsidRPr="00202770">
        <w:t xml:space="preserve"> as “a tutor that knows when it doesn’t know”—one that can make useful predictions while deferring cases where its evidence is insufficient. </w:t>
      </w:r>
    </w:p>
    <w:p w14:paraId="7B141192" w14:textId="77777777" w:rsidR="00202770" w:rsidRPr="00202770" w:rsidRDefault="00202770" w:rsidP="00202770">
      <w:pPr>
        <w:rPr>
          <w:b/>
          <w:bCs/>
        </w:rPr>
      </w:pPr>
      <w:r w:rsidRPr="00202770">
        <w:rPr>
          <w:b/>
          <w:bCs/>
        </w:rPr>
        <w:t>Slide 2 — The problem and data</w:t>
      </w:r>
    </w:p>
    <w:p w14:paraId="4BF2F6DD" w14:textId="77777777" w:rsidR="00202770" w:rsidRPr="00202770" w:rsidRDefault="00202770" w:rsidP="00202770">
      <w:r w:rsidRPr="00202770">
        <w:rPr>
          <w:b/>
          <w:bCs/>
        </w:rPr>
        <w:t>Target time: 1 minute, 10 seconds</w:t>
      </w:r>
    </w:p>
    <w:p w14:paraId="42F55A9F" w14:textId="77777777" w:rsidR="00202770" w:rsidRPr="00202770" w:rsidRDefault="00202770" w:rsidP="00202770">
      <w:r w:rsidRPr="00202770">
        <w:t>We used the public 2018 Duolingo Second Language Acquisition Modeling dataset, or SLAM.</w:t>
      </w:r>
    </w:p>
    <w:p w14:paraId="59A25389" w14:textId="77777777" w:rsidR="00202770" w:rsidRPr="00202770" w:rsidRDefault="00202770" w:rsidP="00202770">
      <w:r w:rsidRPr="00202770">
        <w:t>Across three language courses, the data contain more than 5.5 million exercise tokens from over 6,400 learners during approximately their first 30 days of activity. Each token is labeled correct or incorrect and includes features such as learner and country, days in the course, exercise format, session type, response time, part of speech, morphology, and dependency structure.</w:t>
      </w:r>
    </w:p>
    <w:p w14:paraId="436B9D70" w14:textId="77777777" w:rsidR="00202770" w:rsidRPr="00202770" w:rsidRDefault="00202770" w:rsidP="00202770">
      <w:r w:rsidRPr="00202770">
        <w:t>Only about 15 percent of the tokens are errors. That makes this an imbalanced prediction problem, so accuracy alone would be misleading. A model could achieve high accuracy simply by predicting that nearly every answer will be correct. We therefore evaluate discrimination and probability quality using AUROC, calibration, Brier score, and negative log likelihood.</w:t>
      </w:r>
    </w:p>
    <w:p w14:paraId="1283B665" w14:textId="77777777" w:rsidR="00202770" w:rsidRPr="00202770" w:rsidRDefault="00202770" w:rsidP="00202770">
      <w:r w:rsidRPr="00202770">
        <w:t>The data are also longitudinal. Development and test responses occur later than the training responses for each learner. We preserved that temporal order when constructing history features and performing forward validation.</w:t>
      </w:r>
    </w:p>
    <w:p w14:paraId="61F8F8F6" w14:textId="77777777" w:rsidR="00202770" w:rsidRPr="00202770" w:rsidRDefault="00202770" w:rsidP="00202770">
      <w:r w:rsidRPr="00202770">
        <w:t xml:space="preserve">Our Bayesian reframing is that a probability by itself is not enough. We also want to know whether uncertainty comes from genuine response difficulty or from insufficient evidence about that learner or exercise. </w:t>
      </w:r>
    </w:p>
    <w:p w14:paraId="2773DF05" w14:textId="77777777" w:rsidR="00202770" w:rsidRPr="00202770" w:rsidRDefault="00202770" w:rsidP="00202770">
      <w:pPr>
        <w:rPr>
          <w:b/>
          <w:bCs/>
        </w:rPr>
      </w:pPr>
      <w:r w:rsidRPr="00202770">
        <w:rPr>
          <w:b/>
          <w:bCs/>
        </w:rPr>
        <w:t>Slide 3 — Three Bayesian components</w:t>
      </w:r>
    </w:p>
    <w:p w14:paraId="233F7AA4" w14:textId="77777777" w:rsidR="00202770" w:rsidRPr="00202770" w:rsidRDefault="00202770" w:rsidP="00202770">
      <w:r w:rsidRPr="00202770">
        <w:rPr>
          <w:b/>
          <w:bCs/>
        </w:rPr>
        <w:t>Target time: 1 minute, 10 seconds</w:t>
      </w:r>
    </w:p>
    <w:p w14:paraId="5550A56B" w14:textId="77777777" w:rsidR="00202770" w:rsidRPr="00202770" w:rsidRDefault="00202770" w:rsidP="00202770">
      <w:r w:rsidRPr="00202770">
        <w:lastRenderedPageBreak/>
        <w:t>Our analysis consists of three connected Bayesian components.</w:t>
      </w:r>
    </w:p>
    <w:p w14:paraId="11E6CA6C" w14:textId="77777777" w:rsidR="00202770" w:rsidRPr="00202770" w:rsidRDefault="00202770" w:rsidP="00202770">
      <w:r w:rsidRPr="00202770">
        <w:t>Component A is a hierarchical Bayesian logistic error model. Learner effects represent differences in ability, while token, skill, format, and linguistic effects represent different forms of difficulty. Through partial pooling, learners and tokens with limited observations borrow statistical strength from related groups instead of receiving unstable independent estimates. This also gives the model an Item Response Theory interpretation: learner ability is evaluated against item difficulty.</w:t>
      </w:r>
    </w:p>
    <w:p w14:paraId="5DF04ED3" w14:textId="77777777" w:rsidR="00202770" w:rsidRPr="00202770" w:rsidRDefault="00202770" w:rsidP="00202770">
      <w:r w:rsidRPr="00202770">
        <w:t>Component B is a Hidden Markov Model for latent acquisition stages. We began with three states—unlearned, learning, and acquired—and compared that model with a simpler two-state version. The two-state model was the strongest HMM specification, but neither HMM ultimately replaced the hierarchical logistic model.</w:t>
      </w:r>
    </w:p>
    <w:p w14:paraId="670CDA54" w14:textId="77777777" w:rsidR="00202770" w:rsidRPr="00202770" w:rsidRDefault="00202770" w:rsidP="00202770">
      <w:r w:rsidRPr="00202770">
        <w:t>Component C is uncertainty and routing. Posterior draws let us distinguish inherent response variability from epistemic uncertainty caused by limited knowledge. A decision layer can then abstain when the cost of trusting an uncertain prediction is too high.</w:t>
      </w:r>
    </w:p>
    <w:p w14:paraId="7320B502" w14:textId="77777777" w:rsidR="00202770" w:rsidRPr="00202770" w:rsidRDefault="00202770" w:rsidP="00202770">
      <w:r w:rsidRPr="00202770">
        <w:t xml:space="preserve">Ultimately, Component A became our predictive model, Component B became a descriptive learning model, and Component C became our practical deployment strategy. </w:t>
      </w:r>
    </w:p>
    <w:p w14:paraId="48CD0E87" w14:textId="77777777" w:rsidR="00202770" w:rsidRPr="00202770" w:rsidRDefault="00202770" w:rsidP="00202770">
      <w:pPr>
        <w:rPr>
          <w:b/>
          <w:bCs/>
        </w:rPr>
      </w:pPr>
      <w:r w:rsidRPr="00202770">
        <w:rPr>
          <w:b/>
          <w:bCs/>
        </w:rPr>
        <w:t>Slide 4 — Hierarchical model results</w:t>
      </w:r>
    </w:p>
    <w:p w14:paraId="7DB3342B" w14:textId="77777777" w:rsidR="00202770" w:rsidRPr="00202770" w:rsidRDefault="00202770" w:rsidP="00202770">
      <w:r w:rsidRPr="00202770">
        <w:rPr>
          <w:b/>
          <w:bCs/>
        </w:rPr>
        <w:t>Target time: 1 minute, 15 seconds</w:t>
      </w:r>
    </w:p>
    <w:p w14:paraId="5EE561BC" w14:textId="77777777" w:rsidR="00202770" w:rsidRPr="00202770" w:rsidRDefault="00202770" w:rsidP="00202770">
      <w:r w:rsidRPr="00202770">
        <w:t>Our first major result is that the hierarchical model earns its additional structure.</w:t>
      </w:r>
    </w:p>
    <w:p w14:paraId="20E35CEA" w14:textId="77777777" w:rsidR="00202770" w:rsidRPr="00202770" w:rsidRDefault="00202770" w:rsidP="00202770">
      <w:r w:rsidRPr="00202770">
        <w:t>On the official development sets, native-fit AUROC was approximately 0.755 for English speakers learning Spanish, 0.777 for learners of French, and 0.777 for learners of English. AUROC measures how reliably the model ranks an actual error above a correct response across possible decision thresholds.</w:t>
      </w:r>
    </w:p>
    <w:p w14:paraId="4D703AE6" w14:textId="77777777" w:rsidR="00202770" w:rsidRPr="00202770" w:rsidRDefault="00202770" w:rsidP="00202770">
      <w:r w:rsidRPr="00202770">
        <w:t>Partial pooling decisively outperformed the fully pooled Bayesian baseline. Expected log predictive density improved by 2,158, with a standard error of 77—approximately a 28-standard-error difference. This provides strong evidence that learners, language groups, and exercise categories should not all be forced to share the same effects.</w:t>
      </w:r>
    </w:p>
    <w:p w14:paraId="659064BE" w14:textId="77777777" w:rsidR="00202770" w:rsidRPr="00202770" w:rsidRDefault="00202770" w:rsidP="00202770">
      <w:r w:rsidRPr="00202770">
        <w:t>Calibration also improved. Expected calibration error fell from approximately 0.020 to 0.014, with corresponding improvements in Brier score and negative log likelihood.</w:t>
      </w:r>
    </w:p>
    <w:p w14:paraId="6F75A908" w14:textId="77777777" w:rsidR="00202770" w:rsidRPr="00202770" w:rsidRDefault="00202770" w:rsidP="00202770">
      <w:r w:rsidRPr="00202770">
        <w:t>The model is also interpretable by construction. Its posterior distributions identify difficult formats and linguistic features, reveal differences among learner populations, and estimate how individual learners deviate from their groups.</w:t>
      </w:r>
    </w:p>
    <w:p w14:paraId="0FE29A36" w14:textId="77777777" w:rsidR="00202770" w:rsidRPr="00202770" w:rsidRDefault="00202770" w:rsidP="00202770">
      <w:r w:rsidRPr="00202770">
        <w:t xml:space="preserve">A more heavily engineered non-Bayesian baseline achieved higher raw AUROC, but our objective was not only leaderboard performance. It was competitive prediction combined with calibrated uncertainty, interpretable learner and difficulty effects, and a principled way to recognize when the model should not act. </w:t>
      </w:r>
    </w:p>
    <w:p w14:paraId="0342B84D" w14:textId="77777777" w:rsidR="00202770" w:rsidRPr="00202770" w:rsidRDefault="00202770" w:rsidP="00202770">
      <w:pPr>
        <w:rPr>
          <w:b/>
          <w:bCs/>
        </w:rPr>
      </w:pPr>
      <w:r w:rsidRPr="00202770">
        <w:rPr>
          <w:b/>
          <w:bCs/>
        </w:rPr>
        <w:lastRenderedPageBreak/>
        <w:t>Slide 5 — The HMM negative result</w:t>
      </w:r>
    </w:p>
    <w:p w14:paraId="31A51BAB" w14:textId="77777777" w:rsidR="00202770" w:rsidRPr="00202770" w:rsidRDefault="00202770" w:rsidP="00202770">
      <w:r w:rsidRPr="00202770">
        <w:rPr>
          <w:b/>
          <w:bCs/>
        </w:rPr>
        <w:t>Target time: 1 minute, 25 seconds</w:t>
      </w:r>
    </w:p>
    <w:p w14:paraId="262343B8" w14:textId="77777777" w:rsidR="00202770" w:rsidRPr="00202770" w:rsidRDefault="00202770" w:rsidP="00202770">
      <w:r w:rsidRPr="00202770">
        <w:t>Our HMM experiment produced an important and scientifically useful negative result.</w:t>
      </w:r>
    </w:p>
    <w:p w14:paraId="31E9B719" w14:textId="77777777" w:rsidR="00202770" w:rsidRPr="00202770" w:rsidRDefault="00202770" w:rsidP="00202770">
      <w:r w:rsidRPr="00202770">
        <w:t>The three-state HMM identified intuitive unlearned, learning, and acquired stages over each learner’s 30-day history. Its transitions followed recognizable difficulty and pacing patterns, so it remained useful as a descriptive model.</w:t>
      </w:r>
    </w:p>
    <w:p w14:paraId="6E21F7F8" w14:textId="77777777" w:rsidR="00202770" w:rsidRPr="00202770" w:rsidRDefault="00202770" w:rsidP="00202770">
      <w:r w:rsidRPr="00202770">
        <w:t>We also evaluated a simpler two-state HMM. That version performed best among the HMM alternatives because the intermediate learning state did not provide enough additional predictive separation. However, being the best HMM did not make it the best overall model. Neither discrete-state specification improved on the hierarchical Bayesian logistic regression under rigorous forward validation.</w:t>
      </w:r>
    </w:p>
    <w:p w14:paraId="2832E6A6" w14:textId="77777777" w:rsidR="00202770" w:rsidRPr="00202770" w:rsidRDefault="00202770" w:rsidP="00202770">
      <w:r w:rsidRPr="00202770">
        <w:t>We tested the hybrid using a predefined confirmation gate. The ungated HMM hybrid worsened negative log likelihood by approximately 0.00055, with its entire 95 percent interval above zero. It also worsened the Brier score across the forward-validation folds. An entropy-gated version was statistically indistinguishable from the logistic baseline.</w:t>
      </w:r>
    </w:p>
    <w:p w14:paraId="43C72407" w14:textId="77777777" w:rsidR="00202770" w:rsidRPr="00202770" w:rsidRDefault="00202770" w:rsidP="00202770">
      <w:r w:rsidRPr="00202770">
        <w:t>The small apparent improvement seen during initial development therefore did not replicate. It was most consistent with selection optimism—the exact problem the predefined gate was intended to detect.</w:t>
      </w:r>
    </w:p>
    <w:p w14:paraId="49BE0373" w14:textId="77777777" w:rsidR="00202770" w:rsidRPr="00202770" w:rsidRDefault="00202770" w:rsidP="00202770">
      <w:r w:rsidRPr="00202770">
        <w:t>We view this as a strength rather than a failure. The HMM demonstrated that interpretable Bayesian structure does not automatically improve prediction. Learner knowledge appears to drift more continuously than a small number of discrete stages can capture. Later, we show that continuous dynamic-ability features pass the same validation test that the HMM failed.</w:t>
      </w:r>
    </w:p>
    <w:p w14:paraId="199723A1" w14:textId="77777777" w:rsidR="00202770" w:rsidRPr="00202770" w:rsidRDefault="00202770" w:rsidP="00202770">
      <w:r w:rsidRPr="00202770">
        <w:t>With the predictive model established, we next examine whether its learned difficulty structure transfers across language courses.</w:t>
      </w:r>
    </w:p>
    <w:p w14:paraId="279EE540" w14:textId="77777777" w:rsidR="005A6737" w:rsidRDefault="005A6737"/>
    <w:sectPr w:rsidR="005A6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D0AB0"/>
    <w:rsid w:val="00202770"/>
    <w:rsid w:val="005A6737"/>
    <w:rsid w:val="0070703E"/>
    <w:rsid w:val="00873F71"/>
    <w:rsid w:val="00CD0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64065C-E071-479A-8DFA-3F5D2A95F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AB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D0AB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D0AB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D0AB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D0AB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D0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AB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D0AB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D0AB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D0AB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D0AB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D0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AB0"/>
    <w:rPr>
      <w:rFonts w:eastAsiaTheme="majorEastAsia" w:cstheme="majorBidi"/>
      <w:color w:val="272727" w:themeColor="text1" w:themeTint="D8"/>
    </w:rPr>
  </w:style>
  <w:style w:type="paragraph" w:styleId="Title">
    <w:name w:val="Title"/>
    <w:basedOn w:val="Normal"/>
    <w:next w:val="Normal"/>
    <w:link w:val="TitleChar"/>
    <w:uiPriority w:val="10"/>
    <w:qFormat/>
    <w:rsid w:val="00CD0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A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A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0AB0"/>
    <w:rPr>
      <w:i/>
      <w:iCs/>
      <w:color w:val="404040" w:themeColor="text1" w:themeTint="BF"/>
    </w:rPr>
  </w:style>
  <w:style w:type="paragraph" w:styleId="ListParagraph">
    <w:name w:val="List Paragraph"/>
    <w:basedOn w:val="Normal"/>
    <w:uiPriority w:val="34"/>
    <w:qFormat/>
    <w:rsid w:val="00CD0AB0"/>
    <w:pPr>
      <w:ind w:left="720"/>
      <w:contextualSpacing/>
    </w:pPr>
  </w:style>
  <w:style w:type="character" w:styleId="IntenseEmphasis">
    <w:name w:val="Intense Emphasis"/>
    <w:basedOn w:val="DefaultParagraphFont"/>
    <w:uiPriority w:val="21"/>
    <w:qFormat/>
    <w:rsid w:val="00CD0AB0"/>
    <w:rPr>
      <w:i/>
      <w:iCs/>
      <w:color w:val="365F91" w:themeColor="accent1" w:themeShade="BF"/>
    </w:rPr>
  </w:style>
  <w:style w:type="paragraph" w:styleId="IntenseQuote">
    <w:name w:val="Intense Quote"/>
    <w:basedOn w:val="Normal"/>
    <w:next w:val="Normal"/>
    <w:link w:val="IntenseQuoteChar"/>
    <w:uiPriority w:val="30"/>
    <w:qFormat/>
    <w:rsid w:val="00CD0A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0AB0"/>
    <w:rPr>
      <w:i/>
      <w:iCs/>
      <w:color w:val="365F91" w:themeColor="accent1" w:themeShade="BF"/>
    </w:rPr>
  </w:style>
  <w:style w:type="character" w:styleId="IntenseReference">
    <w:name w:val="Intense Reference"/>
    <w:basedOn w:val="DefaultParagraphFont"/>
    <w:uiPriority w:val="32"/>
    <w:qFormat/>
    <w:rsid w:val="00CD0AB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1070</Words>
  <Characters>6104</Characters>
  <Application>Microsoft Office Word</Application>
  <DocSecurity>0</DocSecurity>
  <Lines>50</Lines>
  <Paragraphs>14</Paragraphs>
  <ScaleCrop>false</ScaleCrop>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Pollitt</dc:creator>
  <cp:keywords/>
  <dc:description/>
  <cp:lastModifiedBy>Richard Pollitt</cp:lastModifiedBy>
  <cp:revision>2</cp:revision>
  <dcterms:created xsi:type="dcterms:W3CDTF">2026-08-15T20:03:00Z</dcterms:created>
  <dcterms:modified xsi:type="dcterms:W3CDTF">2026-08-15T20:03:00Z</dcterms:modified>
</cp:coreProperties>
</file>