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VM Request</w:t>
      </w:r>
    </w:p>
    <w:p>
      <w:pPr>
        <w:jc w:val="center"/>
      </w:pPr>
      <w:r>
        <w:rPr>
          <w:b/>
          <w:color w:val="2E74B5"/>
          <w:sz w:val="26"/>
        </w:rPr>
        <w:t>GIS Chatbot &amp; Spatial Query Engine — VM Requirement</w:t>
      </w:r>
    </w:p>
    <w:p>
      <w:pPr>
        <w:jc w:val="center"/>
      </w:pPr>
      <w:r>
        <w:rPr>
          <w:color w:val="808080"/>
          <w:sz w:val="18"/>
        </w:rPr>
        <w:t>Date: 18 June 2026</w:t>
      </w:r>
    </w:p>
    <w:p>
      <w:pPr>
        <w:pBdr>
          <w:bottom w:val="single" w:sz="6" w:space="1" w:color="AAAAAA"/>
        </w:pBdr>
      </w:pPr>
    </w:p>
    <w:p/>
    <w:p>
      <w:pPr>
        <w:pStyle w:val="Heading1"/>
      </w:pPr>
      <w:r>
        <w:rPr>
          <w:color w:val="1F497D"/>
        </w:rPr>
        <w:t>Purpose</w:t>
      </w:r>
    </w:p>
    <w:p>
      <w:r>
        <w:rPr>
          <w:b w:val="0"/>
          <w:i w:val="0"/>
          <w:sz w:val="22"/>
        </w:rPr>
        <w:t>To host an AI-powered GIS Copilot platform that enables natural language spatial querying, geospatial visualization, and analysis of government GIS datasets using PostgreSQL/PostGIS, GeoServer, and locally hosted LLMs via Ollama.</w:t>
      </w:r>
    </w:p>
    <w:p/>
    <w:p>
      <w:pPr>
        <w:pStyle w:val="Heading1"/>
      </w:pPr>
      <w:r>
        <w:rPr>
          <w:color w:val="1F497D"/>
        </w:rPr>
        <w:t>Configuration</w:t>
      </w:r>
    </w:p>
    <w:p>
      <w:pPr>
        <w:pStyle w:val="ListBullet"/>
      </w:pPr>
      <w:r>
        <w:rPr>
          <w:b/>
          <w:sz w:val="22"/>
        </w:rPr>
        <w:t xml:space="preserve">CPU: </w:t>
      </w:r>
      <w:r>
        <w:rPr>
          <w:sz w:val="22"/>
        </w:rPr>
        <w:t>64 vCPUs</w:t>
      </w:r>
      <w:r>
        <w:rPr>
          <w:i/>
          <w:color w:val="606060"/>
          <w:sz w:val="19"/>
        </w:rPr>
        <w:t xml:space="preserve">  — handles concurrent spatial query processing, LLM inference threads, and GeoServer rendering simultaneously</w:t>
      </w:r>
    </w:p>
    <w:p>
      <w:pPr>
        <w:pStyle w:val="ListBullet"/>
      </w:pPr>
      <w:r>
        <w:rPr>
          <w:b/>
          <w:sz w:val="22"/>
        </w:rPr>
        <w:t xml:space="preserve">RAM: </w:t>
      </w:r>
      <w:r>
        <w:rPr>
          <w:sz w:val="22"/>
        </w:rPr>
        <w:t>256 GB</w:t>
      </w:r>
      <w:r>
        <w:rPr>
          <w:i/>
          <w:color w:val="606060"/>
          <w:sz w:val="19"/>
        </w:rPr>
        <w:t xml:space="preserve">  — large GIS datasets and PostGIS spatial indexes are memory-resident; LLM context + geospatial layer caching requires substantial RAM</w:t>
      </w:r>
    </w:p>
    <w:p>
      <w:pPr>
        <w:pStyle w:val="ListBullet"/>
      </w:pPr>
      <w:r>
        <w:rPr>
          <w:b/>
          <w:sz w:val="22"/>
        </w:rPr>
        <w:t xml:space="preserve">GPU: </w:t>
      </w:r>
      <w:r>
        <w:rPr>
          <w:sz w:val="22"/>
        </w:rPr>
        <w:t>8 GB Dedicated GPU</w:t>
      </w:r>
      <w:r>
        <w:rPr>
          <w:i/>
          <w:color w:val="606060"/>
          <w:sz w:val="19"/>
        </w:rPr>
        <w:t xml:space="preserve">  — multi-layer GIS visualization, spatial raster processing, and LLM inference acceleration (see GPU Justification below)</w:t>
      </w:r>
    </w:p>
    <w:p>
      <w:pPr>
        <w:pStyle w:val="ListBullet"/>
      </w:pPr>
      <w:r>
        <w:rPr>
          <w:b/>
          <w:sz w:val="22"/>
        </w:rPr>
        <w:t xml:space="preserve">OS: </w:t>
      </w:r>
      <w:r>
        <w:rPr>
          <w:sz w:val="22"/>
        </w:rPr>
        <w:t>Windows Server 2022  (or latest stable Windows Server / Windows OS)</w:t>
      </w:r>
    </w:p>
    <w:p/>
    <w:p>
      <w:pPr>
        <w:pStyle w:val="Heading1"/>
      </w:pPr>
      <w:r>
        <w:rPr>
          <w:color w:val="1F497D"/>
        </w:rPr>
        <w:t>Storage</w:t>
      </w:r>
    </w:p>
    <w:p>
      <w:pPr>
        <w:pStyle w:val="ListBullet"/>
      </w:pPr>
      <w:r>
        <w:rPr>
          <w:b/>
          <w:sz w:val="22"/>
        </w:rPr>
        <w:t xml:space="preserve">2 TB: </w:t>
      </w:r>
      <w:r>
        <w:rPr>
          <w:sz w:val="22"/>
        </w:rPr>
        <w:t>Dedicated Storage Drive</w:t>
      </w:r>
      <w:r>
        <w:rPr>
          <w:i/>
          <w:color w:val="606060"/>
          <w:sz w:val="19"/>
        </w:rPr>
        <w:t xml:space="preserve">  — GIS datasets, PostgreSQL/PostGIS databases, GeoServer data directory, Ollama LLM model blobs, application logs, and backups</w:t>
      </w:r>
    </w:p>
    <w:p/>
    <w:p>
      <w:pPr>
        <w:shd w:val="clear" w:color="auto" w:fill="E8F0FE"/>
      </w:pPr>
      <w:r>
        <w:rPr>
          <w:i/>
          <w:color w:val="1F497D"/>
          <w:sz w:val="19"/>
        </w:rPr>
        <w:t>Storage breakdown (estimated):  PostgreSQL/PostGIS DB ~200–500 GB  |  GeoServer data directory ~100–300 GB  |  Ollama LLM models ~15–30 GB  |  Logs &amp; backups ~50–100 GB  |  Headroom for dataset growth  ~1+ TB</w:t>
      </w:r>
    </w:p>
    <w:p/>
    <w:p>
      <w:pPr>
        <w:pStyle w:val="Heading1"/>
      </w:pPr>
      <w:r>
        <w:rPr>
          <w:color w:val="1F497D"/>
        </w:rPr>
        <w:t>Software Stack</w:t>
      </w:r>
    </w:p>
    <w:p>
      <w:pPr>
        <w:pStyle w:val="ListBullet"/>
      </w:pPr>
      <w:r>
        <w:rPr>
          <w:sz w:val="22"/>
        </w:rPr>
        <w:t>PostgreSQL 15+  +  PostGIS 3.x  (spatial database engine)</w:t>
      </w:r>
    </w:p>
    <w:p>
      <w:pPr>
        <w:pStyle w:val="ListBullet"/>
      </w:pPr>
      <w:r>
        <w:rPr>
          <w:sz w:val="22"/>
        </w:rPr>
        <w:t>GeoServer 2.24+  (OGC-compliant geospatial data server, WMS/WFS/WCS)</w:t>
      </w:r>
    </w:p>
    <w:p>
      <w:pPr>
        <w:pStyle w:val="ListBullet"/>
      </w:pPr>
      <w:r>
        <w:rPr>
          <w:sz w:val="22"/>
        </w:rPr>
        <w:t>Ollama  (local LLM hosting — model: llama3, mistral, or equivalent)</w:t>
      </w:r>
    </w:p>
    <w:p>
      <w:pPr>
        <w:pStyle w:val="ListBullet"/>
      </w:pPr>
      <w:r>
        <w:rPr>
          <w:sz w:val="22"/>
        </w:rPr>
        <w:t>Python 3.11+  with  FastAPI  (REST/WebSocket API backend)</w:t>
      </w:r>
    </w:p>
    <w:p>
      <w:pPr>
        <w:pStyle w:val="ListBullet"/>
      </w:pPr>
      <w:r>
        <w:rPr>
          <w:sz w:val="22"/>
        </w:rPr>
        <w:t>LangChain  (LLM orchestration, spatial query chain, RAG pipeline)</w:t>
      </w:r>
    </w:p>
    <w:p>
      <w:pPr>
        <w:pStyle w:val="ListBullet"/>
      </w:pPr>
      <w:r>
        <w:rPr>
          <w:sz w:val="22"/>
        </w:rPr>
        <w:t>GDAL / Shapely / GeoPandas  (geospatial data processing)</w:t>
      </w:r>
    </w:p>
    <w:p>
      <w:pPr>
        <w:pStyle w:val="ListBullet"/>
      </w:pPr>
      <w:r>
        <w:rPr>
          <w:sz w:val="22"/>
        </w:rPr>
        <w:t>Nginx  (reverse proxy, TLS termination)</w:t>
      </w:r>
    </w:p>
    <w:p/>
    <w:p>
      <w:pPr>
        <w:pStyle w:val="Heading1"/>
      </w:pPr>
      <w:r>
        <w:rPr>
          <w:color w:val="1F497D"/>
        </w:rPr>
        <w:t>Network Requirements</w:t>
      </w:r>
    </w:p>
    <w:p>
      <w:r>
        <w:rPr>
          <w:b w:val="0"/>
          <w:i w:val="0"/>
          <w:sz w:val="22"/>
        </w:rPr>
        <w:t>Public IP allocation for application access.</w:t>
      </w:r>
    </w:p>
    <w:p/>
    <w:p>
      <w:pPr>
        <w:pStyle w:val="Heading2"/>
      </w:pPr>
      <w:r>
        <w:rPr>
          <w:color w:val="2E74B5"/>
        </w:rPr>
        <w:t>Open Ports</w:t>
      </w:r>
    </w:p>
    <w:p>
      <w:pPr>
        <w:pStyle w:val="ListBullet"/>
      </w:pPr>
      <w:r>
        <w:rPr>
          <w:b/>
          <w:sz w:val="22"/>
        </w:rPr>
        <w:t xml:space="preserve">80: </w:t>
      </w:r>
      <w:r>
        <w:rPr>
          <w:sz w:val="22"/>
        </w:rPr>
        <w:t>HTTP  —  Nginx (redirects to 443)</w:t>
      </w:r>
    </w:p>
    <w:p>
      <w:pPr>
        <w:pStyle w:val="ListBullet"/>
      </w:pPr>
      <w:r>
        <w:rPr>
          <w:b/>
          <w:sz w:val="22"/>
        </w:rPr>
        <w:t xml:space="preserve">443: </w:t>
      </w:r>
      <w:r>
        <w:rPr>
          <w:sz w:val="22"/>
        </w:rPr>
        <w:t>HTTPS  —  Nginx TLS termination, proxies to FastAPI / GeoServer frontend</w:t>
      </w:r>
    </w:p>
    <w:p>
      <w:pPr>
        <w:pStyle w:val="ListBullet"/>
      </w:pPr>
      <w:r>
        <w:rPr>
          <w:b/>
          <w:sz w:val="22"/>
        </w:rPr>
        <w:t xml:space="preserve">22: </w:t>
      </w:r>
      <w:r>
        <w:rPr>
          <w:sz w:val="22"/>
        </w:rPr>
        <w:t>SSH admin access  (restrict to whitelisted IPs only)</w:t>
      </w:r>
    </w:p>
    <w:p>
      <w:pPr>
        <w:pStyle w:val="ListBullet"/>
      </w:pPr>
      <w:r>
        <w:rPr>
          <w:b/>
          <w:sz w:val="22"/>
        </w:rPr>
        <w:t xml:space="preserve">5432: </w:t>
      </w:r>
      <w:r>
        <w:rPr>
          <w:sz w:val="22"/>
        </w:rPr>
        <w:t>PostgreSQL  —  restricted access  (internal/VPN only; do NOT expose publicly)</w:t>
      </w:r>
    </w:p>
    <w:p>
      <w:pPr>
        <w:pStyle w:val="ListBullet"/>
      </w:pPr>
      <w:r>
        <w:rPr>
          <w:b/>
          <w:sz w:val="22"/>
        </w:rPr>
        <w:t xml:space="preserve">8080: </w:t>
      </w:r>
      <w:r>
        <w:rPr>
          <w:sz w:val="22"/>
        </w:rPr>
        <w:t>GeoServer  —  restricted access  (internal or behind Nginx auth proxy)</w:t>
      </w:r>
    </w:p>
    <w:p>
      <w:pPr>
        <w:pStyle w:val="ListBullet"/>
      </w:pPr>
      <w:r>
        <w:rPr>
          <w:b/>
          <w:sz w:val="22"/>
        </w:rPr>
        <w:t xml:space="preserve">11434: </w:t>
      </w:r>
      <w:r>
        <w:rPr>
          <w:sz w:val="22"/>
        </w:rPr>
        <w:t>Ollama LLM server  —  internal access only  (loopback; never expose publicly)</w:t>
      </w:r>
    </w:p>
    <w:p/>
    <w:p>
      <w:r>
        <w:rPr>
          <w:i/>
          <w:color w:val="C00000"/>
          <w:sz w:val="19"/>
        </w:rPr>
        <w:t>Security note:  Ports 5432, 8080, and 11434 must be blocked at the firewall for all external/public traffic. PostgreSQL and Ollama run without public authentication and must only be reachable from localhost or a trusted internal network.</w:t>
      </w:r>
    </w:p>
    <w:p/>
    <w:p>
      <w:pPr>
        <w:pStyle w:val="Heading1"/>
      </w:pPr>
      <w:r>
        <w:rPr>
          <w:color w:val="1F497D"/>
        </w:rPr>
        <w:t>GPU Justification</w:t>
      </w:r>
    </w:p>
    <w:p>
      <w:r>
        <w:rPr>
          <w:b w:val="0"/>
          <w:i w:val="0"/>
          <w:sz w:val="22"/>
        </w:rPr>
        <w:t>An 8 GB dedicated GPU is required for the following workloads:</w:t>
      </w:r>
    </w:p>
    <w:p>
      <w:pPr>
        <w:pStyle w:val="ListBullet"/>
      </w:pPr>
      <w:r>
        <w:rPr>
          <w:sz w:val="22"/>
        </w:rPr>
        <w:t>Multi-layer GIS raster rendering and spatial visualization (WMS tile generation under concurrent user load)</w:t>
      </w:r>
    </w:p>
    <w:p>
      <w:pPr>
        <w:pStyle w:val="ListBullet"/>
      </w:pPr>
      <w:r>
        <w:rPr>
          <w:sz w:val="22"/>
        </w:rPr>
        <w:t>LLM inference acceleration via Ollama — GPU-backed generation reduces response latency from minutes (CPU-only) to seconds</w:t>
      </w:r>
    </w:p>
    <w:p>
      <w:pPr>
        <w:pStyle w:val="ListBullet"/>
      </w:pPr>
      <w:r>
        <w:rPr>
          <w:sz w:val="22"/>
        </w:rPr>
        <w:t>Spatial raster processing and GDAL operations on large satellite/drone imagery datasets</w:t>
      </w:r>
    </w:p>
    <w:p>
      <w:pPr>
        <w:pStyle w:val="ListBullet"/>
      </w:pPr>
      <w:r>
        <w:rPr>
          <w:sz w:val="22"/>
        </w:rPr>
        <w:t>Future scalability — vector tile generation, ML-based geospatial feature extraction, and real-time map analytics</w:t>
      </w:r>
    </w:p>
    <w:p/>
    <w:p>
      <w:r>
        <w:rPr>
          <w:b w:val="0"/>
          <w:i/>
          <w:color w:val="404040"/>
          <w:sz w:val="20"/>
        </w:rPr>
        <w:t>Recommended GPU: NVIDIA T4 16 GB or RTX A2000 8 GB (minimum). T4 16 GB preferred for headroom on concurrent LLM + GIS rendering workloads.</w:t>
      </w:r>
    </w:p>
    <w:p/>
    <w:p>
      <w:pPr>
        <w:pStyle w:val="Heading1"/>
      </w:pPr>
      <w:r>
        <w:rPr>
          <w:color w:val="1F497D"/>
        </w:rPr>
        <w:t>Duration</w:t>
      </w:r>
    </w:p>
    <w:p>
      <w:r>
        <w:rPr>
          <w:b w:val="0"/>
          <w:i w:val="0"/>
          <w:sz w:val="22"/>
        </w:rPr>
        <w:t>Permanent</w:t>
      </w:r>
    </w:p>
    <w:p/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808080"/>
          <w:sz w:val="17"/>
        </w:rPr>
        <w:t>GIS Chatbot &amp; Spatial Query Engine Development Team   |   18 June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