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資格試験戦略プロンプト応用集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資格試験戦略を副業に変換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上の資格試験戦略分析から月¥30,000稼げる副業案5つ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資格試験戦略キャッチフレーズ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資格試験戦略を一言で表すフレーズ20個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資格試験戦略自己紹介(ビジネス)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資格試験戦略自己紹介(SNS)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資格試験戦略を面接で語る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資格試験戦略弱み変換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資格試験戦略向き職種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資格試験戦略活かせない職種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資格試験戦略を伸ばす30冊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資格試験戦略毎日のルーチン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資格試験戦略で人助け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資格試験戦略の値付け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資格試験戦略コンテンツ100案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資格試験戦略相棒の特性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資格試験戦略発揮できる環境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資格試験戦略5年計画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資格試験戦略人生のミッション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資格試験戦略を家族に説明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資格試験戦略を子供に伝える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資格試験戦略名刺裏の一行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資格試験戦略1日体験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資格試験戦略最小取引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資格試験戦略差別化戦略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資格試験戦略逆算キャリア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資格試験戦略1年後への手紙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