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投資スタイル適性プロンプト応用集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投資スタイル適性を副業に変換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上の投資スタイル適性分析から月¥30,000稼げる副業案5つ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投資スタイル適性キャッチフレーズ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投資スタイル適性を一言で表すフレーズ20個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投資スタイル適性自己紹介(ビジネス)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投資スタイル適性自己紹介(SNS)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投資スタイル適性を面接で語る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投資スタイル適性弱み変換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投資スタイル適性向き職種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投資スタイル適性活かせない職種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投資スタイル適性を伸ばす30冊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投資スタイル適性毎日のルーチン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投資スタイル適性で人助け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投資スタイル適性の値付け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投資スタイル適性コンテンツ100案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投資スタイル適性相棒の特性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投資スタイル適性発揮できる環境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投資スタイル適性5年計画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投資スタイル適性人生のミッション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投資スタイル適性を家族に説明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投資スタイル適性を子供に伝える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投資スタイル適性名刺裏の一行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投資スタイル適性1日体験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投資スタイル適性最小取引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投資スタイル適性差別化戦略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投資スタイル適性逆算キャリア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投資スタイル適性1年後への手紙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