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専門家・顧客教育プロンプト応用集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専門家・顧客教育を副業に変換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上の専門家・顧客教育分析から月¥30,000稼げる副業案5つ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専門家・顧客教育キャッチフレーズ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専門家・顧客教育を一言で表すフレーズ20個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専門家・顧客教育自己紹介(ビジネス)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専門家・顧客教育自己紹介(SNS)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専門家・顧客教育を面接で語る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専門家・顧客教育弱み変換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専門家・顧客教育向き職種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専門家・顧客教育活かせない職種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専門家・顧客教育を伸ばす30冊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専門家・顧客教育毎日のルーチン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専門家・顧客教育で人助け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専門家・顧客教育の値付け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専門家・顧客教育コンテンツ100案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専門家・顧客教育相棒の特性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専門家・顧客教育発揮できる環境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専門家・顧客教育5年計画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専門家・顧客教育人生のミッション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専門家・顧客教育を家族に説明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専門家・顧客教育を子供に伝える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専門家・顧客教育名刺裏の一行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専門家・顧客教育1日体験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専門家・顧客教育最小取引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専門家・顧客教育差別化戦略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専門家・顧客教育逆算キャリア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専門家・顧客教育1年後への手紙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