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営業・お断り対応プロンプト応用集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営業・お断り対応を副業に変換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上の営業・お断り対応分析から月¥30,000稼げる副業案5つ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営業・お断り対応キャッチフレーズ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営業・お断り対応を一言で表すフレーズ20個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営業・お断り対応自己紹介(ビジネス)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営業・お断り対応自己紹介(SNS)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営業・お断り対応を面接で語る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営業・お断り対応弱み変換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営業・お断り対応向き職種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営業・お断り対応活かせない職種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営業・お断り対応を伸ばす30冊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営業・お断り対応毎日のルーチン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営業・お断り対応で人助け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営業・お断り対応の値付け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営業・お断り対応コンテンツ100案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営業・お断り対応相棒の特性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営業・お断り対応発揮できる環境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営業・お断り対応5年計画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営業・お断り対応人生のミッション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営業・お断り対応を家族に説明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営業・お断り対応を子供に伝える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営業・お断り対応名刺裏の一行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営業・お断り対応1日体験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営業・お断り対応最小取引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営業・お断り対応差別化戦略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営業・お断り対応逆算キャリア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営業・お断り対応1年後への手紙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