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海外向けPRプロンプト応用集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海外向けPRを副業に変換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上の海外向けPR分析から月¥30,000稼げる副業案5つ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海外向けPRキャッチフレーズ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海外向けPRを一言で表すフレーズ20個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海外向けPR自己紹介(ビジネス)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海外向けPR自己紹介(SNS)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海外向けPRを面接で語る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海外向けPR弱み変換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海外向けPR向き職種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海外向けPR活かせない職種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海外向けPRを伸ばす30冊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海外向けPR毎日のルーチン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海外向けPRで人助け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海外向けPRの値付け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海外向けPRコンテンツ100案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海外向けPR相棒の特性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海外向けPR発揮できる環境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海外向けPR5年計画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海外向けPR人生のミッション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海外向けPRを家族に説明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海外向けPRを子供に伝える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海外向けPR名刺裏の一行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海外向けPR1日体験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海外向けPR最小取引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海外向けPR差別化戦略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海外向けPR逆算キャリア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海外向けPR1年後への手紙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