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1"/>
        <w:tblpPr w:leftFromText="180" w:rightFromText="180" w:topFromText="180" w:bottomFromText="180" w:vertAnchor="page" w:horzAnchor="margin" w:tblpXSpec="center" w:tblpY="1066"/>
        <w:tblW w:w="10491" w:type="dxa"/>
        <w:tblInd w:w="0" w:type="dxa"/>
        <w:tblLayout w:type="fixed"/>
        <w:tblLook w:val="0400" w:firstRow="0" w:lastRow="0" w:firstColumn="0" w:lastColumn="0" w:noHBand="0" w:noVBand="1"/>
      </w:tblPr>
      <w:tblGrid>
        <w:gridCol w:w="3823"/>
        <w:gridCol w:w="4190"/>
        <w:gridCol w:w="2478"/>
      </w:tblGrid>
      <w:tr w:rsidR="006D0C28" w14:paraId="4B292321" w14:textId="77777777">
        <w:trPr>
          <w:trHeight w:val="209"/>
        </w:trPr>
        <w:tc>
          <w:tcPr>
            <w:tcW w:w="3823" w:type="dxa"/>
            <w:vMerge w:val="restart"/>
            <w:tcBorders>
              <w:top w:val="single" w:sz="4" w:space="0" w:color="000000"/>
              <w:left w:val="single" w:sz="4" w:space="0" w:color="000000"/>
              <w:bottom w:val="single" w:sz="8" w:space="0" w:color="000000"/>
              <w:right w:val="single" w:sz="4" w:space="0" w:color="000000"/>
            </w:tcBorders>
            <w:vAlign w:val="center"/>
          </w:tcPr>
          <w:p w14:paraId="5C0F3617" w14:textId="77777777" w:rsidR="006D0C28" w:rsidRDefault="005614DA" w:rsidP="008E5011">
            <w:pPr>
              <w:jc w:val="both"/>
            </w:pPr>
            <w:r>
              <w:rPr>
                <w:noProof/>
              </w:rPr>
              <w:drawing>
                <wp:inline distT="0" distB="0" distL="0" distR="0" wp14:anchorId="149DC08C" wp14:editId="02F08498">
                  <wp:extent cx="1756156" cy="621665"/>
                  <wp:effectExtent l="0" t="0" r="0" b="0"/>
                  <wp:docPr id="3" name="image2.jpg" descr="12_de_octubre jpg.jpg"/>
                  <wp:cNvGraphicFramePr/>
                  <a:graphic xmlns:a="http://schemas.openxmlformats.org/drawingml/2006/main">
                    <a:graphicData uri="http://schemas.openxmlformats.org/drawingml/2006/picture">
                      <pic:pic xmlns:pic="http://schemas.openxmlformats.org/drawingml/2006/picture">
                        <pic:nvPicPr>
                          <pic:cNvPr id="0" name="image2.jpg" descr="12_de_octubre jpg.jpg"/>
                          <pic:cNvPicPr preferRelativeResize="0"/>
                        </pic:nvPicPr>
                        <pic:blipFill>
                          <a:blip r:embed="rId8"/>
                          <a:srcRect/>
                          <a:stretch>
                            <a:fillRect/>
                          </a:stretch>
                        </pic:blipFill>
                        <pic:spPr>
                          <a:xfrm>
                            <a:off x="0" y="0"/>
                            <a:ext cx="1756156" cy="621665"/>
                          </a:xfrm>
                          <a:prstGeom prst="rect">
                            <a:avLst/>
                          </a:prstGeom>
                          <a:ln/>
                        </pic:spPr>
                      </pic:pic>
                    </a:graphicData>
                  </a:graphic>
                </wp:inline>
              </w:drawing>
            </w:r>
          </w:p>
          <w:p w14:paraId="4E9AEA32" w14:textId="77777777" w:rsidR="006D0C28" w:rsidRDefault="006D0C28" w:rsidP="008E5011">
            <w:pPr>
              <w:jc w:val="both"/>
            </w:pPr>
          </w:p>
          <w:p w14:paraId="281751D6" w14:textId="77777777" w:rsidR="006D0C28" w:rsidRDefault="006D0C28" w:rsidP="008E5011">
            <w:pPr>
              <w:jc w:val="both"/>
            </w:pPr>
          </w:p>
          <w:p w14:paraId="21AB5822" w14:textId="77777777" w:rsidR="006D0C28" w:rsidRDefault="006D0C28" w:rsidP="008E5011">
            <w:pPr>
              <w:jc w:val="both"/>
            </w:pPr>
          </w:p>
          <w:p w14:paraId="4560DE94" w14:textId="77777777" w:rsidR="006D0C28" w:rsidRDefault="006D0C28" w:rsidP="008E5011">
            <w:pPr>
              <w:ind w:right="325"/>
              <w:jc w:val="both"/>
              <w:rPr>
                <w:rFonts w:ascii="Times New Roman" w:eastAsia="Times New Roman" w:hAnsi="Times New Roman" w:cs="Times New Roman"/>
                <w:sz w:val="20"/>
                <w:szCs w:val="20"/>
              </w:rPr>
            </w:pPr>
          </w:p>
          <w:p w14:paraId="30479F85" w14:textId="77777777" w:rsidR="006D0C28" w:rsidRDefault="005614DA" w:rsidP="008E5011">
            <w:pPr>
              <w:ind w:right="325"/>
              <w:jc w:val="both"/>
            </w:pPr>
            <w:r>
              <w:rPr>
                <w:rFonts w:ascii="Arial" w:eastAsia="Arial" w:hAnsi="Arial" w:cs="Arial"/>
                <w:b/>
                <w:sz w:val="24"/>
                <w:szCs w:val="24"/>
              </w:rPr>
              <w:t>UCI DE TRAUMA Y EMERGENCIAS</w:t>
            </w:r>
          </w:p>
          <w:p w14:paraId="46BF7D4B" w14:textId="77777777" w:rsidR="006D0C28" w:rsidRDefault="006D0C28" w:rsidP="008E5011">
            <w:pPr>
              <w:ind w:left="559"/>
              <w:jc w:val="both"/>
            </w:pPr>
          </w:p>
        </w:tc>
        <w:tc>
          <w:tcPr>
            <w:tcW w:w="4190" w:type="dxa"/>
            <w:vMerge w:val="restart"/>
            <w:tcBorders>
              <w:top w:val="single" w:sz="4" w:space="0" w:color="000000"/>
              <w:left w:val="single" w:sz="4" w:space="0" w:color="000000"/>
              <w:bottom w:val="single" w:sz="8" w:space="0" w:color="000000"/>
              <w:right w:val="single" w:sz="4" w:space="0" w:color="000000"/>
            </w:tcBorders>
            <w:shd w:val="clear" w:color="auto" w:fill="CFE1F3"/>
          </w:tcPr>
          <w:p w14:paraId="3B368721" w14:textId="37D8CE0C" w:rsidR="006D0C28" w:rsidRDefault="006D0C28" w:rsidP="008E5011">
            <w:pPr>
              <w:ind w:left="1"/>
              <w:jc w:val="center"/>
            </w:pPr>
          </w:p>
          <w:p w14:paraId="35EAD182" w14:textId="13657DC6" w:rsidR="006D0C28" w:rsidRDefault="006D0C28" w:rsidP="008E5011">
            <w:pPr>
              <w:ind w:left="1"/>
              <w:jc w:val="center"/>
            </w:pPr>
          </w:p>
          <w:p w14:paraId="0C743DE0" w14:textId="3796DF7C" w:rsidR="006D0C28" w:rsidRDefault="005614DA" w:rsidP="008E5011">
            <w:pPr>
              <w:ind w:left="10"/>
              <w:jc w:val="center"/>
            </w:pPr>
            <w:r>
              <w:rPr>
                <w:rFonts w:ascii="Arial" w:eastAsia="Arial" w:hAnsi="Arial" w:cs="Arial"/>
                <w:b/>
                <w:color w:val="4471C4"/>
                <w:sz w:val="28"/>
                <w:szCs w:val="28"/>
              </w:rPr>
              <w:t>PROTOCOLO/</w:t>
            </w:r>
          </w:p>
          <w:p w14:paraId="62765F17" w14:textId="3208679F" w:rsidR="006D0C28" w:rsidRDefault="005614DA" w:rsidP="008E5011">
            <w:pPr>
              <w:ind w:left="12"/>
              <w:jc w:val="center"/>
            </w:pPr>
            <w:r>
              <w:rPr>
                <w:rFonts w:ascii="Arial" w:eastAsia="Arial" w:hAnsi="Arial" w:cs="Arial"/>
                <w:b/>
                <w:color w:val="4471C4"/>
                <w:sz w:val="28"/>
                <w:szCs w:val="28"/>
              </w:rPr>
              <w:t>PROCEDIMIENTO</w:t>
            </w:r>
          </w:p>
          <w:p w14:paraId="722ACF57" w14:textId="077C14DC" w:rsidR="006D0C28" w:rsidRDefault="006D0C28" w:rsidP="008E5011">
            <w:pPr>
              <w:ind w:left="91"/>
              <w:jc w:val="center"/>
            </w:pPr>
          </w:p>
          <w:p w14:paraId="6F614293" w14:textId="77777777" w:rsidR="006D0C28" w:rsidRDefault="006D0C28" w:rsidP="008E5011">
            <w:pPr>
              <w:spacing w:line="241" w:lineRule="auto"/>
              <w:jc w:val="center"/>
            </w:pPr>
          </w:p>
          <w:p w14:paraId="0143F8EB" w14:textId="77777777" w:rsidR="006D0C28" w:rsidRDefault="005614DA" w:rsidP="008E5011">
            <w:pPr>
              <w:ind w:left="1"/>
              <w:jc w:val="center"/>
            </w:pPr>
            <w:r>
              <w:rPr>
                <w:rFonts w:ascii="Arial" w:eastAsia="Arial" w:hAnsi="Arial" w:cs="Arial"/>
                <w:b/>
                <w:color w:val="4471C4"/>
                <w:sz w:val="28"/>
                <w:szCs w:val="28"/>
              </w:rPr>
              <w:t>LIMPIEZA DE HERIDAS Y PROFILAXIS ANTIMICROBIANA EN LA ATENCIÓN INICIAL AL TRAUMA</w:t>
            </w:r>
          </w:p>
        </w:tc>
        <w:tc>
          <w:tcPr>
            <w:tcW w:w="2478" w:type="dxa"/>
            <w:tcBorders>
              <w:top w:val="single" w:sz="4" w:space="0" w:color="000000"/>
              <w:left w:val="single" w:sz="4" w:space="0" w:color="000000"/>
              <w:bottom w:val="single" w:sz="4" w:space="0" w:color="000000"/>
              <w:right w:val="single" w:sz="4" w:space="0" w:color="000000"/>
            </w:tcBorders>
            <w:shd w:val="clear" w:color="auto" w:fill="CFE1F3"/>
          </w:tcPr>
          <w:p w14:paraId="27B0F80F" w14:textId="77777777" w:rsidR="006D0C28" w:rsidRDefault="005614DA" w:rsidP="008E5011">
            <w:pPr>
              <w:ind w:left="40"/>
              <w:jc w:val="both"/>
            </w:pPr>
            <w:r>
              <w:rPr>
                <w:rFonts w:ascii="Arial" w:eastAsia="Arial" w:hAnsi="Arial" w:cs="Arial"/>
                <w:b/>
                <w:sz w:val="18"/>
                <w:szCs w:val="18"/>
              </w:rPr>
              <w:t xml:space="preserve">VERSIÓN </w:t>
            </w:r>
          </w:p>
        </w:tc>
      </w:tr>
      <w:tr w:rsidR="006D0C28" w14:paraId="7E65592A" w14:textId="77777777">
        <w:trPr>
          <w:trHeight w:val="3763"/>
        </w:trPr>
        <w:tc>
          <w:tcPr>
            <w:tcW w:w="3823" w:type="dxa"/>
            <w:vMerge/>
            <w:tcBorders>
              <w:top w:val="single" w:sz="4" w:space="0" w:color="000000"/>
              <w:left w:val="single" w:sz="4" w:space="0" w:color="000000"/>
              <w:bottom w:val="single" w:sz="8" w:space="0" w:color="000000"/>
              <w:right w:val="single" w:sz="4" w:space="0" w:color="000000"/>
            </w:tcBorders>
            <w:vAlign w:val="center"/>
          </w:tcPr>
          <w:p w14:paraId="04357981" w14:textId="77777777" w:rsidR="006D0C28" w:rsidRDefault="006D0C28" w:rsidP="008E5011">
            <w:pPr>
              <w:widowControl w:val="0"/>
              <w:pBdr>
                <w:top w:val="nil"/>
                <w:left w:val="nil"/>
                <w:bottom w:val="nil"/>
                <w:right w:val="nil"/>
                <w:between w:val="nil"/>
              </w:pBdr>
              <w:spacing w:line="276" w:lineRule="auto"/>
              <w:jc w:val="both"/>
            </w:pPr>
          </w:p>
        </w:tc>
        <w:tc>
          <w:tcPr>
            <w:tcW w:w="4190" w:type="dxa"/>
            <w:vMerge/>
            <w:tcBorders>
              <w:top w:val="single" w:sz="4" w:space="0" w:color="000000"/>
              <w:left w:val="single" w:sz="4" w:space="0" w:color="000000"/>
              <w:bottom w:val="single" w:sz="8" w:space="0" w:color="000000"/>
              <w:right w:val="single" w:sz="4" w:space="0" w:color="000000"/>
            </w:tcBorders>
            <w:shd w:val="clear" w:color="auto" w:fill="CFE1F3"/>
          </w:tcPr>
          <w:p w14:paraId="1282F0D4" w14:textId="77777777" w:rsidR="006D0C28" w:rsidRDefault="006D0C28" w:rsidP="008E5011">
            <w:pPr>
              <w:widowControl w:val="0"/>
              <w:pBdr>
                <w:top w:val="nil"/>
                <w:left w:val="nil"/>
                <w:bottom w:val="nil"/>
                <w:right w:val="nil"/>
                <w:between w:val="nil"/>
              </w:pBdr>
              <w:spacing w:line="276" w:lineRule="auto"/>
              <w:jc w:val="both"/>
            </w:pPr>
          </w:p>
        </w:tc>
        <w:tc>
          <w:tcPr>
            <w:tcW w:w="2478" w:type="dxa"/>
            <w:tcBorders>
              <w:top w:val="single" w:sz="4" w:space="0" w:color="000000"/>
              <w:left w:val="single" w:sz="4" w:space="0" w:color="000000"/>
              <w:bottom w:val="single" w:sz="4" w:space="0" w:color="000000"/>
              <w:right w:val="single" w:sz="4" w:space="0" w:color="000000"/>
            </w:tcBorders>
          </w:tcPr>
          <w:p w14:paraId="445DB9E0" w14:textId="77777777" w:rsidR="006D0C28" w:rsidRDefault="005614DA" w:rsidP="008E5011">
            <w:pPr>
              <w:ind w:left="1"/>
              <w:jc w:val="both"/>
              <w:rPr>
                <w:sz w:val="20"/>
                <w:szCs w:val="20"/>
              </w:rPr>
            </w:pPr>
            <w:r>
              <w:rPr>
                <w:rFonts w:ascii="Times New Roman" w:eastAsia="Times New Roman" w:hAnsi="Times New Roman" w:cs="Times New Roman"/>
                <w:sz w:val="16"/>
                <w:szCs w:val="16"/>
              </w:rPr>
              <w:t xml:space="preserve"> </w:t>
            </w:r>
          </w:p>
          <w:p w14:paraId="5AB09D71" w14:textId="77777777" w:rsidR="006D0C28" w:rsidRDefault="005614DA" w:rsidP="008E5011">
            <w:pPr>
              <w:ind w:left="114"/>
              <w:jc w:val="both"/>
              <w:rPr>
                <w:sz w:val="20"/>
                <w:szCs w:val="20"/>
              </w:rPr>
            </w:pPr>
            <w:r>
              <w:rPr>
                <w:rFonts w:ascii="Arial" w:eastAsia="Arial" w:hAnsi="Arial" w:cs="Arial"/>
                <w:b/>
                <w:sz w:val="20"/>
                <w:szCs w:val="20"/>
              </w:rPr>
              <w:t xml:space="preserve">Fecha publicación: </w:t>
            </w:r>
          </w:p>
          <w:p w14:paraId="4494D470" w14:textId="77777777" w:rsidR="006D0C28" w:rsidRDefault="006D0C28" w:rsidP="008E5011">
            <w:pPr>
              <w:ind w:left="1"/>
              <w:jc w:val="both"/>
              <w:rPr>
                <w:sz w:val="20"/>
                <w:szCs w:val="20"/>
              </w:rPr>
            </w:pPr>
          </w:p>
          <w:p w14:paraId="1CA6A51B" w14:textId="77777777" w:rsidR="006D0C28" w:rsidRDefault="005614DA" w:rsidP="008E5011">
            <w:pPr>
              <w:spacing w:line="239" w:lineRule="auto"/>
              <w:ind w:left="114"/>
              <w:jc w:val="both"/>
              <w:rPr>
                <w:sz w:val="20"/>
                <w:szCs w:val="20"/>
              </w:rPr>
            </w:pPr>
            <w:r>
              <w:rPr>
                <w:rFonts w:ascii="Arial" w:eastAsia="Arial" w:hAnsi="Arial" w:cs="Arial"/>
                <w:b/>
                <w:sz w:val="20"/>
                <w:szCs w:val="20"/>
              </w:rPr>
              <w:t xml:space="preserve">Fecha prevista actualización: </w:t>
            </w:r>
          </w:p>
          <w:p w14:paraId="4018BD2C" w14:textId="77777777" w:rsidR="006D0C28" w:rsidRDefault="006D0C28" w:rsidP="008E5011">
            <w:pPr>
              <w:ind w:left="1"/>
              <w:jc w:val="both"/>
              <w:rPr>
                <w:rFonts w:ascii="Times New Roman" w:eastAsia="Times New Roman" w:hAnsi="Times New Roman" w:cs="Times New Roman"/>
                <w:sz w:val="20"/>
                <w:szCs w:val="20"/>
              </w:rPr>
            </w:pPr>
          </w:p>
          <w:p w14:paraId="101E1BF3" w14:textId="77777777" w:rsidR="006D0C28" w:rsidRDefault="006D0C28" w:rsidP="008E5011">
            <w:pPr>
              <w:ind w:left="1"/>
              <w:jc w:val="both"/>
              <w:rPr>
                <w:sz w:val="20"/>
                <w:szCs w:val="20"/>
              </w:rPr>
            </w:pPr>
          </w:p>
          <w:p w14:paraId="6E230062" w14:textId="77777777" w:rsidR="006D0C28" w:rsidRDefault="005614DA" w:rsidP="008E5011">
            <w:pPr>
              <w:ind w:left="114"/>
              <w:jc w:val="both"/>
              <w:rPr>
                <w:rFonts w:ascii="Arial" w:eastAsia="Arial" w:hAnsi="Arial" w:cs="Arial"/>
                <w:b/>
                <w:sz w:val="20"/>
                <w:szCs w:val="20"/>
              </w:rPr>
            </w:pPr>
            <w:r>
              <w:rPr>
                <w:rFonts w:ascii="Arial" w:eastAsia="Arial" w:hAnsi="Arial" w:cs="Arial"/>
                <w:b/>
                <w:sz w:val="20"/>
                <w:szCs w:val="20"/>
              </w:rPr>
              <w:t>Autores:</w:t>
            </w:r>
          </w:p>
          <w:p w14:paraId="4FD297E7" w14:textId="77777777" w:rsidR="006D0C28" w:rsidRDefault="005614DA" w:rsidP="008E5011">
            <w:pPr>
              <w:ind w:left="114"/>
              <w:jc w:val="both"/>
              <w:rPr>
                <w:rFonts w:ascii="Arial" w:eastAsia="Arial" w:hAnsi="Arial" w:cs="Arial"/>
                <w:sz w:val="20"/>
                <w:szCs w:val="20"/>
              </w:rPr>
            </w:pPr>
            <w:r>
              <w:rPr>
                <w:rFonts w:ascii="Arial" w:eastAsia="Arial" w:hAnsi="Arial" w:cs="Arial"/>
                <w:sz w:val="20"/>
                <w:szCs w:val="20"/>
              </w:rPr>
              <w:t>Laura López García</w:t>
            </w:r>
          </w:p>
          <w:p w14:paraId="5D1A4CC3" w14:textId="77777777" w:rsidR="006D0C28" w:rsidRDefault="005614DA" w:rsidP="008E5011">
            <w:pPr>
              <w:ind w:left="114"/>
              <w:jc w:val="both"/>
              <w:rPr>
                <w:rFonts w:ascii="Arial" w:eastAsia="Arial" w:hAnsi="Arial" w:cs="Arial"/>
                <w:sz w:val="20"/>
                <w:szCs w:val="20"/>
              </w:rPr>
            </w:pPr>
            <w:r>
              <w:rPr>
                <w:rFonts w:ascii="Arial" w:eastAsia="Arial" w:hAnsi="Arial" w:cs="Arial"/>
                <w:sz w:val="20"/>
                <w:szCs w:val="20"/>
              </w:rPr>
              <w:t>Cristina Holgado García</w:t>
            </w:r>
          </w:p>
          <w:p w14:paraId="54FFB87E" w14:textId="77777777" w:rsidR="006D0C28" w:rsidRDefault="005614DA" w:rsidP="008E5011">
            <w:pPr>
              <w:ind w:left="114"/>
              <w:jc w:val="both"/>
              <w:rPr>
                <w:rFonts w:ascii="Arial" w:eastAsia="Arial" w:hAnsi="Arial" w:cs="Arial"/>
                <w:sz w:val="20"/>
                <w:szCs w:val="20"/>
              </w:rPr>
            </w:pPr>
            <w:proofErr w:type="spellStart"/>
            <w:r>
              <w:rPr>
                <w:rFonts w:ascii="Arial" w:eastAsia="Arial" w:hAnsi="Arial" w:cs="Arial"/>
                <w:sz w:val="20"/>
                <w:szCs w:val="20"/>
              </w:rPr>
              <w:t>Leonore</w:t>
            </w:r>
            <w:proofErr w:type="spellEnd"/>
            <w:r>
              <w:rPr>
                <w:rFonts w:ascii="Arial" w:eastAsia="Arial" w:hAnsi="Arial" w:cs="Arial"/>
                <w:sz w:val="20"/>
                <w:szCs w:val="20"/>
              </w:rPr>
              <w:t xml:space="preserve"> Suarez </w:t>
            </w:r>
            <w:proofErr w:type="spellStart"/>
            <w:r>
              <w:rPr>
                <w:rFonts w:ascii="Arial" w:eastAsia="Arial" w:hAnsi="Arial" w:cs="Arial"/>
                <w:sz w:val="20"/>
                <w:szCs w:val="20"/>
              </w:rPr>
              <w:t>Saenz</w:t>
            </w:r>
            <w:proofErr w:type="spellEnd"/>
          </w:p>
          <w:p w14:paraId="7155A9F0" w14:textId="77777777" w:rsidR="006D0C28" w:rsidRDefault="005614DA" w:rsidP="008E5011">
            <w:pPr>
              <w:ind w:left="114"/>
              <w:jc w:val="both"/>
              <w:rPr>
                <w:rFonts w:ascii="Arial" w:eastAsia="Arial" w:hAnsi="Arial" w:cs="Arial"/>
                <w:sz w:val="20"/>
                <w:szCs w:val="20"/>
              </w:rPr>
            </w:pPr>
            <w:r>
              <w:rPr>
                <w:rFonts w:ascii="Arial" w:eastAsia="Arial" w:hAnsi="Arial" w:cs="Arial"/>
                <w:sz w:val="20"/>
                <w:szCs w:val="20"/>
              </w:rPr>
              <w:t>Laura Llanos Torres</w:t>
            </w:r>
          </w:p>
        </w:tc>
      </w:tr>
      <w:tr w:rsidR="006D0C28" w14:paraId="0903355E" w14:textId="77777777">
        <w:trPr>
          <w:trHeight w:val="60"/>
        </w:trPr>
        <w:tc>
          <w:tcPr>
            <w:tcW w:w="3823" w:type="dxa"/>
            <w:vMerge/>
            <w:tcBorders>
              <w:top w:val="single" w:sz="4" w:space="0" w:color="000000"/>
              <w:left w:val="single" w:sz="4" w:space="0" w:color="000000"/>
              <w:bottom w:val="single" w:sz="8" w:space="0" w:color="000000"/>
              <w:right w:val="single" w:sz="4" w:space="0" w:color="000000"/>
            </w:tcBorders>
            <w:vAlign w:val="center"/>
          </w:tcPr>
          <w:p w14:paraId="111A9F90" w14:textId="77777777" w:rsidR="006D0C28" w:rsidRDefault="006D0C28" w:rsidP="008E5011">
            <w:pPr>
              <w:widowControl w:val="0"/>
              <w:pBdr>
                <w:top w:val="nil"/>
                <w:left w:val="nil"/>
                <w:bottom w:val="nil"/>
                <w:right w:val="nil"/>
                <w:between w:val="nil"/>
              </w:pBdr>
              <w:spacing w:line="276" w:lineRule="auto"/>
              <w:jc w:val="both"/>
              <w:rPr>
                <w:rFonts w:ascii="Arial" w:eastAsia="Arial" w:hAnsi="Arial" w:cs="Arial"/>
                <w:sz w:val="20"/>
                <w:szCs w:val="20"/>
              </w:rPr>
            </w:pPr>
          </w:p>
        </w:tc>
        <w:tc>
          <w:tcPr>
            <w:tcW w:w="4190" w:type="dxa"/>
            <w:vMerge/>
            <w:tcBorders>
              <w:top w:val="single" w:sz="4" w:space="0" w:color="000000"/>
              <w:left w:val="single" w:sz="4" w:space="0" w:color="000000"/>
              <w:bottom w:val="single" w:sz="8" w:space="0" w:color="000000"/>
              <w:right w:val="single" w:sz="4" w:space="0" w:color="000000"/>
            </w:tcBorders>
            <w:shd w:val="clear" w:color="auto" w:fill="CFE1F3"/>
          </w:tcPr>
          <w:p w14:paraId="4568222A" w14:textId="77777777" w:rsidR="006D0C28" w:rsidRDefault="006D0C28" w:rsidP="008E5011">
            <w:pPr>
              <w:widowControl w:val="0"/>
              <w:pBdr>
                <w:top w:val="nil"/>
                <w:left w:val="nil"/>
                <w:bottom w:val="nil"/>
                <w:right w:val="nil"/>
                <w:between w:val="nil"/>
              </w:pBdr>
              <w:spacing w:line="276" w:lineRule="auto"/>
              <w:jc w:val="both"/>
              <w:rPr>
                <w:rFonts w:ascii="Arial" w:eastAsia="Arial" w:hAnsi="Arial" w:cs="Arial"/>
                <w:sz w:val="20"/>
                <w:szCs w:val="20"/>
              </w:rPr>
            </w:pPr>
          </w:p>
        </w:tc>
        <w:tc>
          <w:tcPr>
            <w:tcW w:w="2478" w:type="dxa"/>
            <w:tcBorders>
              <w:top w:val="single" w:sz="4" w:space="0" w:color="000000"/>
              <w:left w:val="single" w:sz="4" w:space="0" w:color="000000"/>
              <w:bottom w:val="single" w:sz="8" w:space="0" w:color="000000"/>
              <w:right w:val="single" w:sz="4" w:space="0" w:color="000000"/>
            </w:tcBorders>
            <w:shd w:val="clear" w:color="auto" w:fill="CFE1F3"/>
          </w:tcPr>
          <w:p w14:paraId="46F390B4" w14:textId="77777777" w:rsidR="006D0C28" w:rsidRDefault="005614DA" w:rsidP="008E5011">
            <w:pPr>
              <w:ind w:left="48"/>
              <w:jc w:val="both"/>
            </w:pPr>
            <w:r>
              <w:rPr>
                <w:rFonts w:ascii="Arial" w:eastAsia="Arial" w:hAnsi="Arial" w:cs="Arial"/>
                <w:b/>
                <w:sz w:val="18"/>
                <w:szCs w:val="18"/>
              </w:rPr>
              <w:t xml:space="preserve">Hoja 1 de 4 </w:t>
            </w:r>
          </w:p>
        </w:tc>
      </w:tr>
      <w:tr w:rsidR="006D0C28" w14:paraId="68E2DEBD" w14:textId="77777777">
        <w:trPr>
          <w:trHeight w:val="463"/>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D9D9D9"/>
            <w:vAlign w:val="center"/>
          </w:tcPr>
          <w:p w14:paraId="5B2300CF" w14:textId="77777777" w:rsidR="006D0C28" w:rsidRDefault="005614DA" w:rsidP="008E5011">
            <w:pPr>
              <w:spacing w:before="120" w:after="120"/>
              <w:ind w:left="103"/>
              <w:jc w:val="both"/>
            </w:pPr>
            <w:r>
              <w:rPr>
                <w:rFonts w:ascii="Arial" w:eastAsia="Arial" w:hAnsi="Arial" w:cs="Arial"/>
                <w:b/>
              </w:rPr>
              <w:t xml:space="preserve">OBJETIVOS </w:t>
            </w:r>
          </w:p>
        </w:tc>
      </w:tr>
      <w:tr w:rsidR="006D0C28" w14:paraId="60E825FC" w14:textId="77777777">
        <w:trPr>
          <w:trHeight w:val="402"/>
        </w:trPr>
        <w:tc>
          <w:tcPr>
            <w:tcW w:w="10491" w:type="dxa"/>
            <w:gridSpan w:val="3"/>
            <w:tcBorders>
              <w:top w:val="single" w:sz="8" w:space="0" w:color="000000"/>
              <w:left w:val="single" w:sz="8" w:space="0" w:color="000000"/>
              <w:bottom w:val="single" w:sz="8" w:space="0" w:color="000000"/>
              <w:right w:val="single" w:sz="8" w:space="0" w:color="000000"/>
            </w:tcBorders>
          </w:tcPr>
          <w:p w14:paraId="6287D4D2" w14:textId="77777777" w:rsidR="006D0C28" w:rsidRDefault="005614DA" w:rsidP="008E5011">
            <w:pPr>
              <w:numPr>
                <w:ilvl w:val="0"/>
                <w:numId w:val="5"/>
              </w:numPr>
              <w:spacing w:before="120"/>
              <w:ind w:right="420"/>
              <w:jc w:val="both"/>
              <w:rPr>
                <w:rFonts w:ascii="Arial" w:eastAsia="Arial" w:hAnsi="Arial" w:cs="Arial"/>
              </w:rPr>
            </w:pPr>
            <w:r>
              <w:rPr>
                <w:rFonts w:ascii="Arial" w:eastAsia="Arial" w:hAnsi="Arial" w:cs="Arial"/>
              </w:rPr>
              <w:t>Estandarizar los cuidados iniciales de las heridas y fracturas abiertas.</w:t>
            </w:r>
          </w:p>
          <w:p w14:paraId="0FFC662A" w14:textId="77777777" w:rsidR="006D0C28" w:rsidRDefault="005614DA" w:rsidP="008E5011">
            <w:pPr>
              <w:numPr>
                <w:ilvl w:val="0"/>
                <w:numId w:val="5"/>
              </w:numPr>
              <w:spacing w:after="120"/>
              <w:ind w:right="420"/>
              <w:jc w:val="both"/>
              <w:rPr>
                <w:rFonts w:ascii="Arial" w:eastAsia="Arial" w:hAnsi="Arial" w:cs="Arial"/>
              </w:rPr>
            </w:pPr>
            <w:r>
              <w:rPr>
                <w:rFonts w:ascii="Arial" w:eastAsia="Arial" w:hAnsi="Arial" w:cs="Arial"/>
              </w:rPr>
              <w:t>Estandarizar la administración de profilaxis antibiótica y antitetánica.</w:t>
            </w:r>
          </w:p>
        </w:tc>
      </w:tr>
      <w:tr w:rsidR="006D0C28" w14:paraId="1462BDA4" w14:textId="77777777">
        <w:trPr>
          <w:trHeight w:val="460"/>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D9D9D9"/>
            <w:vAlign w:val="center"/>
          </w:tcPr>
          <w:p w14:paraId="45060E63" w14:textId="77777777" w:rsidR="006D0C28" w:rsidRDefault="005614DA" w:rsidP="008E5011">
            <w:pPr>
              <w:spacing w:before="120" w:after="120"/>
              <w:ind w:left="103" w:right="420"/>
              <w:jc w:val="both"/>
            </w:pPr>
            <w:r>
              <w:rPr>
                <w:rFonts w:ascii="Arial" w:eastAsia="Arial" w:hAnsi="Arial" w:cs="Arial"/>
                <w:b/>
              </w:rPr>
              <w:t xml:space="preserve">CRITERIOS DE INCLUSIÓN Y EXCLUSIÓN (quién) </w:t>
            </w:r>
          </w:p>
        </w:tc>
      </w:tr>
      <w:tr w:rsidR="006D0C28" w14:paraId="6A21DB88" w14:textId="77777777">
        <w:trPr>
          <w:trHeight w:val="703"/>
        </w:trPr>
        <w:tc>
          <w:tcPr>
            <w:tcW w:w="10491" w:type="dxa"/>
            <w:gridSpan w:val="3"/>
            <w:tcBorders>
              <w:top w:val="single" w:sz="8" w:space="0" w:color="000000"/>
              <w:left w:val="single" w:sz="8" w:space="0" w:color="000000"/>
              <w:bottom w:val="single" w:sz="8" w:space="0" w:color="000000"/>
              <w:right w:val="single" w:sz="8" w:space="0" w:color="000000"/>
            </w:tcBorders>
            <w:vAlign w:val="center"/>
          </w:tcPr>
          <w:p w14:paraId="2B11EF9B" w14:textId="77777777" w:rsidR="006D0C28" w:rsidRDefault="005614DA" w:rsidP="008E5011">
            <w:pPr>
              <w:numPr>
                <w:ilvl w:val="0"/>
                <w:numId w:val="4"/>
              </w:numPr>
              <w:spacing w:before="120" w:after="120"/>
              <w:ind w:right="420"/>
              <w:jc w:val="both"/>
              <w:rPr>
                <w:rFonts w:ascii="Arial" w:eastAsia="Arial" w:hAnsi="Arial" w:cs="Arial"/>
              </w:rPr>
            </w:pPr>
            <w:r>
              <w:rPr>
                <w:rFonts w:ascii="Arial" w:eastAsia="Arial" w:hAnsi="Arial" w:cs="Arial"/>
              </w:rPr>
              <w:t>Todo paciente con enfermedad traumática que presente heridas o fracturas abiertas.</w:t>
            </w:r>
          </w:p>
        </w:tc>
      </w:tr>
      <w:tr w:rsidR="006D0C28" w14:paraId="20D1FAA9" w14:textId="77777777">
        <w:trPr>
          <w:trHeight w:val="459"/>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D7D7D7"/>
            <w:vAlign w:val="center"/>
          </w:tcPr>
          <w:p w14:paraId="2FEFE286" w14:textId="77777777" w:rsidR="006D0C28" w:rsidRDefault="005614DA" w:rsidP="008E5011">
            <w:pPr>
              <w:spacing w:before="120" w:after="120"/>
              <w:ind w:left="103" w:right="420"/>
              <w:jc w:val="both"/>
            </w:pPr>
            <w:r>
              <w:rPr>
                <w:rFonts w:ascii="Arial" w:eastAsia="Arial" w:hAnsi="Arial" w:cs="Arial"/>
                <w:b/>
              </w:rPr>
              <w:t xml:space="preserve">JUSTIFICACIÓN (por qué) </w:t>
            </w:r>
          </w:p>
        </w:tc>
      </w:tr>
      <w:tr w:rsidR="006D0C28" w14:paraId="6E5FE886" w14:textId="77777777">
        <w:trPr>
          <w:trHeight w:val="459"/>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289DFEA" w14:textId="77777777" w:rsidR="006D0C28" w:rsidRDefault="005614DA" w:rsidP="008E5011">
            <w:pPr>
              <w:spacing w:before="240" w:after="240" w:line="276" w:lineRule="auto"/>
              <w:ind w:left="425" w:right="420"/>
              <w:jc w:val="both"/>
              <w:rPr>
                <w:rFonts w:ascii="Arial" w:eastAsia="Arial" w:hAnsi="Arial" w:cs="Arial"/>
              </w:rPr>
            </w:pPr>
            <w:r>
              <w:rPr>
                <w:rFonts w:ascii="Arial" w:eastAsia="Arial" w:hAnsi="Arial" w:cs="Arial"/>
              </w:rPr>
              <w:t>Las lesiones músculo-esqueléticas (heridas y fracturas abiertas) son muy frecuentes en el paciente politraumatizado, y en general van a ser identificadas durante la valoración secundaria. Pese a que el manejo definitivo de las mismas no se lleva a cabo durante la atención inicial, la limpieza de heridas contaminadas y fracturas abiertas, así como la profilaxis antimicrobiana sí ha de realizarse de manera urgente.</w:t>
            </w:r>
          </w:p>
        </w:tc>
      </w:tr>
      <w:tr w:rsidR="006D0C28" w14:paraId="6E1F2317" w14:textId="77777777">
        <w:trPr>
          <w:trHeight w:val="499"/>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D0CECE"/>
            <w:vAlign w:val="center"/>
          </w:tcPr>
          <w:p w14:paraId="706858AF" w14:textId="77777777" w:rsidR="006D0C28" w:rsidRDefault="005614DA" w:rsidP="008E5011">
            <w:pPr>
              <w:spacing w:before="120" w:after="120"/>
              <w:ind w:left="103" w:right="420"/>
              <w:jc w:val="both"/>
              <w:rPr>
                <w:rFonts w:ascii="Arial" w:eastAsia="Arial" w:hAnsi="Arial" w:cs="Arial"/>
                <w:b/>
              </w:rPr>
            </w:pPr>
            <w:r>
              <w:rPr>
                <w:rFonts w:ascii="Arial" w:eastAsia="Arial" w:hAnsi="Arial" w:cs="Arial"/>
                <w:b/>
              </w:rPr>
              <w:t xml:space="preserve">DESARROLLO (qué y cómo) </w:t>
            </w:r>
          </w:p>
        </w:tc>
      </w:tr>
      <w:tr w:rsidR="006D0C28" w14:paraId="79631DFE" w14:textId="77777777">
        <w:trPr>
          <w:trHeight w:val="499"/>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B920A63" w14:textId="77777777" w:rsidR="006D0C28" w:rsidRDefault="005614DA" w:rsidP="008E5011">
            <w:pPr>
              <w:numPr>
                <w:ilvl w:val="0"/>
                <w:numId w:val="2"/>
              </w:numPr>
              <w:pBdr>
                <w:top w:val="nil"/>
                <w:left w:val="nil"/>
                <w:bottom w:val="nil"/>
                <w:right w:val="nil"/>
                <w:between w:val="nil"/>
              </w:pBdr>
              <w:spacing w:before="240" w:line="276" w:lineRule="auto"/>
              <w:ind w:right="420"/>
              <w:jc w:val="both"/>
              <w:rPr>
                <w:rFonts w:ascii="Arial" w:eastAsia="Arial" w:hAnsi="Arial" w:cs="Arial"/>
                <w:b/>
                <w:color w:val="000000"/>
              </w:rPr>
            </w:pPr>
            <w:r>
              <w:rPr>
                <w:rFonts w:ascii="Arial" w:eastAsia="Arial" w:hAnsi="Arial" w:cs="Arial"/>
                <w:b/>
                <w:color w:val="000000"/>
                <w:u w:val="single"/>
              </w:rPr>
              <w:t>Limpieza de heridas y fracturas abiertas</w:t>
            </w:r>
          </w:p>
          <w:p w14:paraId="6CA55A7E" w14:textId="77777777" w:rsidR="006D0C28" w:rsidRDefault="006D0C28" w:rsidP="008E5011">
            <w:pPr>
              <w:pBdr>
                <w:top w:val="nil"/>
                <w:left w:val="nil"/>
                <w:bottom w:val="nil"/>
                <w:right w:val="nil"/>
                <w:between w:val="nil"/>
              </w:pBdr>
              <w:spacing w:line="276" w:lineRule="auto"/>
              <w:ind w:right="420"/>
              <w:jc w:val="both"/>
              <w:rPr>
                <w:rFonts w:ascii="Arial" w:eastAsia="Arial" w:hAnsi="Arial" w:cs="Arial"/>
                <w:b/>
              </w:rPr>
            </w:pPr>
          </w:p>
          <w:p w14:paraId="1E8D8E82" w14:textId="77777777" w:rsidR="006D0C28" w:rsidRDefault="005614DA" w:rsidP="008E5011">
            <w:pPr>
              <w:numPr>
                <w:ilvl w:val="1"/>
                <w:numId w:val="2"/>
              </w:numPr>
              <w:pBdr>
                <w:top w:val="nil"/>
                <w:left w:val="nil"/>
                <w:bottom w:val="nil"/>
                <w:right w:val="nil"/>
                <w:between w:val="nil"/>
              </w:pBdr>
              <w:spacing w:line="276" w:lineRule="auto"/>
              <w:ind w:right="420"/>
              <w:jc w:val="both"/>
              <w:rPr>
                <w:rFonts w:ascii="Arial" w:eastAsia="Arial" w:hAnsi="Arial" w:cs="Arial"/>
                <w:color w:val="000000"/>
              </w:rPr>
            </w:pPr>
            <w:r>
              <w:rPr>
                <w:rFonts w:ascii="Arial" w:eastAsia="Arial" w:hAnsi="Arial" w:cs="Arial"/>
                <w:b/>
                <w:color w:val="000000"/>
              </w:rPr>
              <w:t xml:space="preserve">Inspección. </w:t>
            </w:r>
            <w:r>
              <w:rPr>
                <w:rFonts w:ascii="Arial" w:eastAsia="Arial" w:hAnsi="Arial" w:cs="Arial"/>
                <w:color w:val="000000"/>
              </w:rPr>
              <w:t>En primer lugar hay que descubrir las heridas para poder hacer una inspección más exhaustiva. Se deberán minimizar las exposiciones y manipulaciones de las heridas y fracturas, ya que aumenta</w:t>
            </w:r>
            <w:r w:rsidR="000A30E8">
              <w:rPr>
                <w:rFonts w:ascii="Arial" w:eastAsia="Arial" w:hAnsi="Arial" w:cs="Arial"/>
                <w:color w:val="000000"/>
              </w:rPr>
              <w:t>n</w:t>
            </w:r>
            <w:r>
              <w:rPr>
                <w:rFonts w:ascii="Arial" w:eastAsia="Arial" w:hAnsi="Arial" w:cs="Arial"/>
                <w:color w:val="000000"/>
              </w:rPr>
              <w:t xml:space="preserve"> el riesgo de infección. La documentación fotográfica puede ayudar en estos casos.</w:t>
            </w:r>
          </w:p>
          <w:p w14:paraId="37A0D915" w14:textId="77777777" w:rsidR="006D0C28" w:rsidRDefault="005614DA" w:rsidP="008E5011">
            <w:pPr>
              <w:pBdr>
                <w:top w:val="nil"/>
                <w:left w:val="nil"/>
                <w:bottom w:val="nil"/>
                <w:right w:val="nil"/>
                <w:between w:val="nil"/>
              </w:pBdr>
              <w:spacing w:line="276" w:lineRule="auto"/>
              <w:ind w:left="992" w:right="420"/>
              <w:jc w:val="both"/>
              <w:rPr>
                <w:rFonts w:ascii="Arial" w:eastAsia="Arial" w:hAnsi="Arial" w:cs="Arial"/>
                <w:color w:val="000000"/>
              </w:rPr>
            </w:pPr>
            <w:r>
              <w:rPr>
                <w:rFonts w:ascii="Arial" w:eastAsia="Arial" w:hAnsi="Arial" w:cs="Arial"/>
                <w:color w:val="000000"/>
              </w:rPr>
              <w:t>La exploración digital (al igual que cualquier tipo de manipulación de la herida) en el box de atención inicial está desaconsejad</w:t>
            </w:r>
            <w:r>
              <w:rPr>
                <w:rFonts w:ascii="Arial" w:eastAsia="Arial" w:hAnsi="Arial" w:cs="Arial"/>
              </w:rPr>
              <w:t>a</w:t>
            </w:r>
            <w:r>
              <w:rPr>
                <w:rFonts w:ascii="Arial" w:eastAsia="Arial" w:hAnsi="Arial" w:cs="Arial"/>
                <w:color w:val="000000"/>
              </w:rPr>
              <w:t>. Únicamente ha de realizarse cuando se trata de una fractura abierta o cuando en el lecho de la herida haya suciedad visible que impide ver el alcance de la lesión o las estructuras adyacentes dañadas.</w:t>
            </w:r>
          </w:p>
          <w:p w14:paraId="30B4DBE3" w14:textId="77777777" w:rsidR="006D0C28" w:rsidRDefault="006D0C28" w:rsidP="008E5011">
            <w:pPr>
              <w:pBdr>
                <w:top w:val="nil"/>
                <w:left w:val="nil"/>
                <w:bottom w:val="nil"/>
                <w:right w:val="nil"/>
                <w:between w:val="nil"/>
              </w:pBdr>
              <w:spacing w:line="276" w:lineRule="auto"/>
              <w:ind w:left="992" w:right="420"/>
              <w:jc w:val="both"/>
              <w:rPr>
                <w:rFonts w:ascii="Arial" w:eastAsia="Arial" w:hAnsi="Arial" w:cs="Arial"/>
              </w:rPr>
            </w:pPr>
          </w:p>
          <w:p w14:paraId="25646477" w14:textId="77777777" w:rsidR="006D0C28" w:rsidRDefault="005614DA" w:rsidP="008E5011">
            <w:pPr>
              <w:numPr>
                <w:ilvl w:val="1"/>
                <w:numId w:val="2"/>
              </w:numPr>
              <w:pBdr>
                <w:top w:val="nil"/>
                <w:left w:val="nil"/>
                <w:bottom w:val="nil"/>
                <w:right w:val="nil"/>
                <w:between w:val="nil"/>
              </w:pBdr>
              <w:spacing w:line="276" w:lineRule="auto"/>
              <w:ind w:right="420"/>
              <w:jc w:val="both"/>
              <w:rPr>
                <w:rFonts w:ascii="Arial" w:eastAsia="Arial" w:hAnsi="Arial" w:cs="Arial"/>
                <w:color w:val="000000"/>
              </w:rPr>
            </w:pPr>
            <w:r>
              <w:rPr>
                <w:rFonts w:ascii="Arial" w:eastAsia="Arial" w:hAnsi="Arial" w:cs="Arial"/>
                <w:b/>
                <w:color w:val="000000"/>
              </w:rPr>
              <w:t xml:space="preserve">Irrigación. </w:t>
            </w:r>
            <w:r>
              <w:rPr>
                <w:rFonts w:ascii="Arial" w:eastAsia="Arial" w:hAnsi="Arial" w:cs="Arial"/>
                <w:color w:val="000000"/>
              </w:rPr>
              <w:t xml:space="preserve">En las fracturas abiertas, pero también en las heridas contaminadas a simple vista, está indicada la irrigación como método de limpieza de éstas. Ha de realizarse con suero </w:t>
            </w:r>
            <w:r>
              <w:rPr>
                <w:rFonts w:ascii="Arial" w:eastAsia="Arial" w:hAnsi="Arial" w:cs="Arial"/>
                <w:color w:val="000000"/>
              </w:rPr>
              <w:lastRenderedPageBreak/>
              <w:t>salino 0.9%</w:t>
            </w:r>
            <w:r>
              <w:rPr>
                <w:rFonts w:ascii="Arial" w:eastAsia="Arial" w:hAnsi="Arial" w:cs="Arial"/>
                <w:b/>
                <w:color w:val="000000"/>
              </w:rPr>
              <w:t xml:space="preserve"> </w:t>
            </w:r>
            <w:r>
              <w:rPr>
                <w:rFonts w:ascii="Arial" w:eastAsia="Arial" w:hAnsi="Arial" w:cs="Arial"/>
                <w:color w:val="000000"/>
              </w:rPr>
              <w:t xml:space="preserve">con una presión suficiente para retirar cuerpos extraños y suciedad, o incluso identificar puntos de sangrado si los hubiera, pero sin dañar aún más los tejidos. No está indicado utilizar soluciones antisépticas ya que no están demostrados mejores resultados que los obtenidos con SS 0.9%, y pueden incrementar el daño tisular. Tampoco está indicado realizar irrigación a alta presión por el mismo motivo. En casos puntuales, se podrán usar cepillos quirúrgicos y extracción instrumental de cuerpos extraños. En cuanto al volumen de irrigación en las fracturas abiertas, si bien no hay evidencia clara, se suele seguir la siguiente regla: 3 litros para fracturas tipo I, 6 litros para tipo II y 9 litros para tipo III </w:t>
            </w:r>
            <w:r>
              <w:rPr>
                <w:rFonts w:ascii="Arial" w:eastAsia="Arial" w:hAnsi="Arial" w:cs="Arial"/>
              </w:rPr>
              <w:t xml:space="preserve">según la clasificación de </w:t>
            </w:r>
            <w:proofErr w:type="spellStart"/>
            <w:r>
              <w:rPr>
                <w:rFonts w:ascii="Arial" w:eastAsia="Arial" w:hAnsi="Arial" w:cs="Arial"/>
              </w:rPr>
              <w:t>Gustilo</w:t>
            </w:r>
            <w:proofErr w:type="spellEnd"/>
            <w:r>
              <w:rPr>
                <w:rFonts w:ascii="Arial" w:eastAsia="Arial" w:hAnsi="Arial" w:cs="Arial"/>
              </w:rPr>
              <w:t xml:space="preserve"> y Anderson</w:t>
            </w:r>
            <w:r>
              <w:rPr>
                <w:rFonts w:ascii="Arial" w:eastAsia="Arial" w:hAnsi="Arial" w:cs="Arial"/>
                <w:color w:val="000000"/>
              </w:rPr>
              <w:t>. En general, cuanto peor sea la fractura, mayor cantidad de suero habrá que emplear.</w:t>
            </w:r>
          </w:p>
          <w:p w14:paraId="176EEA45" w14:textId="77777777" w:rsidR="006D0C28" w:rsidRDefault="006D0C28" w:rsidP="008E5011">
            <w:pPr>
              <w:pBdr>
                <w:top w:val="nil"/>
                <w:left w:val="nil"/>
                <w:bottom w:val="nil"/>
                <w:right w:val="nil"/>
                <w:between w:val="nil"/>
              </w:pBdr>
              <w:spacing w:line="276" w:lineRule="auto"/>
              <w:ind w:left="992" w:right="420"/>
              <w:jc w:val="both"/>
              <w:rPr>
                <w:rFonts w:ascii="Arial" w:eastAsia="Arial" w:hAnsi="Arial" w:cs="Arial"/>
              </w:rPr>
            </w:pPr>
          </w:p>
          <w:p w14:paraId="151E2605" w14:textId="77777777" w:rsidR="006D0C28" w:rsidRDefault="005614DA" w:rsidP="008E5011">
            <w:pPr>
              <w:numPr>
                <w:ilvl w:val="1"/>
                <w:numId w:val="2"/>
              </w:numPr>
              <w:pBdr>
                <w:top w:val="nil"/>
                <w:left w:val="nil"/>
                <w:bottom w:val="nil"/>
                <w:right w:val="nil"/>
                <w:between w:val="nil"/>
              </w:pBdr>
              <w:spacing w:line="276" w:lineRule="auto"/>
              <w:ind w:right="420"/>
              <w:jc w:val="both"/>
              <w:rPr>
                <w:rFonts w:ascii="Arial" w:eastAsia="Arial" w:hAnsi="Arial" w:cs="Arial"/>
                <w:color w:val="000000"/>
              </w:rPr>
            </w:pPr>
            <w:r>
              <w:rPr>
                <w:rFonts w:ascii="Arial" w:eastAsia="Arial" w:hAnsi="Arial" w:cs="Arial"/>
                <w:b/>
                <w:color w:val="000000"/>
              </w:rPr>
              <w:t>Cuidados posteriores.</w:t>
            </w:r>
            <w:r>
              <w:rPr>
                <w:rFonts w:ascii="Arial" w:eastAsia="Arial" w:hAnsi="Arial" w:cs="Arial"/>
                <w:color w:val="000000"/>
              </w:rPr>
              <w:t xml:space="preserve"> Tras la limpieza se recomienda cubrir las heridas con gasas y compresas estériles empapadas en suero salino fisiológico y un apósito oclusivo hasta poder valorar su alcance posteriormente con pruebas de imagen y cirugía si es preciso.</w:t>
            </w:r>
          </w:p>
          <w:p w14:paraId="40A55633" w14:textId="77777777" w:rsidR="006D0C28" w:rsidRDefault="005614DA" w:rsidP="008E5011">
            <w:pPr>
              <w:pBdr>
                <w:top w:val="nil"/>
                <w:left w:val="nil"/>
                <w:bottom w:val="nil"/>
                <w:right w:val="nil"/>
                <w:between w:val="nil"/>
              </w:pBdr>
              <w:spacing w:after="240" w:line="276" w:lineRule="auto"/>
              <w:ind w:left="992" w:right="420"/>
              <w:jc w:val="both"/>
              <w:rPr>
                <w:rFonts w:ascii="Arial" w:eastAsia="Arial" w:hAnsi="Arial" w:cs="Arial"/>
                <w:color w:val="000000"/>
              </w:rPr>
            </w:pPr>
            <w:r>
              <w:rPr>
                <w:rFonts w:ascii="Arial" w:eastAsia="Arial" w:hAnsi="Arial" w:cs="Arial"/>
                <w:color w:val="000000"/>
              </w:rPr>
              <w:t xml:space="preserve">En el caso de sangrados activos, evisceraciones, presencia de torniquetes o amputación, no retiraremos los vendajes o coberturas hasta su valoración en pruebas de imagen o en quirófano si es preciso, para favorecer la hemostasia y evitar aumentar el sangrado. </w:t>
            </w:r>
          </w:p>
          <w:p w14:paraId="21E8A7D7" w14:textId="77777777" w:rsidR="006D0C28" w:rsidRDefault="005614DA" w:rsidP="008E5011">
            <w:pPr>
              <w:numPr>
                <w:ilvl w:val="0"/>
                <w:numId w:val="2"/>
              </w:numPr>
              <w:spacing w:before="240" w:after="240" w:line="276" w:lineRule="auto"/>
              <w:ind w:right="420"/>
              <w:jc w:val="both"/>
              <w:rPr>
                <w:rFonts w:ascii="Arial" w:eastAsia="Arial" w:hAnsi="Arial" w:cs="Arial"/>
                <w:b/>
              </w:rPr>
            </w:pPr>
            <w:r>
              <w:rPr>
                <w:rFonts w:ascii="Arial" w:eastAsia="Arial" w:hAnsi="Arial" w:cs="Arial"/>
                <w:b/>
                <w:u w:val="single"/>
              </w:rPr>
              <w:t>Profilaxis antibiótica</w:t>
            </w:r>
          </w:p>
          <w:p w14:paraId="757B9741" w14:textId="77777777" w:rsidR="006D0C28" w:rsidRDefault="005614DA" w:rsidP="008E5011">
            <w:pPr>
              <w:spacing w:before="240" w:after="240" w:line="276" w:lineRule="auto"/>
              <w:ind w:left="720" w:right="420"/>
              <w:jc w:val="both"/>
              <w:rPr>
                <w:rFonts w:ascii="Arial" w:eastAsia="Arial" w:hAnsi="Arial" w:cs="Arial"/>
                <w:b/>
              </w:rPr>
            </w:pPr>
            <w:r>
              <w:rPr>
                <w:rFonts w:ascii="Arial" w:eastAsia="Arial" w:hAnsi="Arial" w:cs="Arial"/>
                <w:b/>
              </w:rPr>
              <w:t>2.1 Fracturas abiertas</w:t>
            </w:r>
          </w:p>
          <w:p w14:paraId="216682A4" w14:textId="77777777" w:rsidR="006D0C28" w:rsidRDefault="005614DA" w:rsidP="008E5011">
            <w:pPr>
              <w:spacing w:before="240" w:after="240" w:line="276" w:lineRule="auto"/>
              <w:ind w:left="720" w:right="420"/>
              <w:jc w:val="both"/>
              <w:rPr>
                <w:rFonts w:ascii="Arial" w:eastAsia="Arial" w:hAnsi="Arial" w:cs="Arial"/>
              </w:rPr>
            </w:pPr>
            <w:r>
              <w:rPr>
                <w:rFonts w:ascii="Arial" w:eastAsia="Arial" w:hAnsi="Arial" w:cs="Arial"/>
              </w:rPr>
              <w:t xml:space="preserve">Todo paciente con una fractura abierta (de cualquier grado) debe recibir profilaxis antibiótica intravenosa lo antes posible. Su administración más allá de las 3 horas desde el trauma aumenta el riesgo de infección. El antibiótico y la posología dependerá del tipo de fractura según la clasificación de </w:t>
            </w:r>
            <w:proofErr w:type="spellStart"/>
            <w:r>
              <w:rPr>
                <w:rFonts w:ascii="Arial" w:eastAsia="Arial" w:hAnsi="Arial" w:cs="Arial"/>
              </w:rPr>
              <w:t>Gustilo</w:t>
            </w:r>
            <w:proofErr w:type="spellEnd"/>
            <w:r>
              <w:rPr>
                <w:rFonts w:ascii="Arial" w:eastAsia="Arial" w:hAnsi="Arial" w:cs="Arial"/>
              </w:rPr>
              <w:t xml:space="preserve"> y Anderson: </w:t>
            </w:r>
          </w:p>
          <w:p w14:paraId="74AE81F3" w14:textId="77777777" w:rsidR="006D0C28" w:rsidRDefault="005614DA" w:rsidP="008E5011">
            <w:pPr>
              <w:numPr>
                <w:ilvl w:val="0"/>
                <w:numId w:val="1"/>
              </w:numPr>
              <w:spacing w:before="240" w:line="276" w:lineRule="auto"/>
              <w:ind w:right="420"/>
              <w:jc w:val="both"/>
              <w:rPr>
                <w:rFonts w:ascii="Arial" w:eastAsia="Arial" w:hAnsi="Arial" w:cs="Arial"/>
              </w:rPr>
            </w:pPr>
            <w:proofErr w:type="spellStart"/>
            <w:r>
              <w:rPr>
                <w:rFonts w:ascii="Arial" w:eastAsia="Arial" w:hAnsi="Arial" w:cs="Arial"/>
                <w:u w:val="single"/>
              </w:rPr>
              <w:t>Gustilo</w:t>
            </w:r>
            <w:proofErr w:type="spellEnd"/>
            <w:r>
              <w:rPr>
                <w:rFonts w:ascii="Arial" w:eastAsia="Arial" w:hAnsi="Arial" w:cs="Arial"/>
                <w:u w:val="single"/>
              </w:rPr>
              <w:t xml:space="preserve"> tipos I y II:</w:t>
            </w:r>
            <w:r>
              <w:rPr>
                <w:rFonts w:ascii="Arial" w:eastAsia="Arial" w:hAnsi="Arial" w:cs="Arial"/>
              </w:rPr>
              <w:t xml:space="preserve"> </w:t>
            </w:r>
            <w:proofErr w:type="spellStart"/>
            <w:r>
              <w:rPr>
                <w:rFonts w:ascii="Arial" w:eastAsia="Arial" w:hAnsi="Arial" w:cs="Arial"/>
              </w:rPr>
              <w:t>cefazolina</w:t>
            </w:r>
            <w:proofErr w:type="spellEnd"/>
            <w:r>
              <w:rPr>
                <w:rFonts w:ascii="Arial" w:eastAsia="Arial" w:hAnsi="Arial" w:cs="Arial"/>
              </w:rPr>
              <w:t xml:space="preserve"> 2g </w:t>
            </w:r>
            <w:proofErr w:type="spellStart"/>
            <w:r>
              <w:rPr>
                <w:rFonts w:ascii="Arial" w:eastAsia="Arial" w:hAnsi="Arial" w:cs="Arial"/>
              </w:rPr>
              <w:t>iv</w:t>
            </w:r>
            <w:proofErr w:type="spellEnd"/>
            <w:r>
              <w:rPr>
                <w:rFonts w:ascii="Arial" w:eastAsia="Arial" w:hAnsi="Arial" w:cs="Arial"/>
              </w:rPr>
              <w:t xml:space="preserve"> dosis de carga, posteriormente 1g cada 8 horas durante 24 horas.</w:t>
            </w:r>
          </w:p>
          <w:p w14:paraId="65BC4634" w14:textId="77777777" w:rsidR="006D0C28" w:rsidRDefault="005614DA" w:rsidP="008E5011">
            <w:pPr>
              <w:numPr>
                <w:ilvl w:val="0"/>
                <w:numId w:val="1"/>
              </w:numPr>
              <w:spacing w:line="276" w:lineRule="auto"/>
              <w:ind w:right="420"/>
              <w:jc w:val="both"/>
              <w:rPr>
                <w:rFonts w:ascii="Arial" w:eastAsia="Arial" w:hAnsi="Arial" w:cs="Arial"/>
              </w:rPr>
            </w:pPr>
            <w:proofErr w:type="spellStart"/>
            <w:r>
              <w:rPr>
                <w:rFonts w:ascii="Arial" w:eastAsia="Arial" w:hAnsi="Arial" w:cs="Arial"/>
                <w:u w:val="single"/>
              </w:rPr>
              <w:t>Gustilo</w:t>
            </w:r>
            <w:proofErr w:type="spellEnd"/>
            <w:r>
              <w:rPr>
                <w:rFonts w:ascii="Arial" w:eastAsia="Arial" w:hAnsi="Arial" w:cs="Arial"/>
                <w:u w:val="single"/>
              </w:rPr>
              <w:t xml:space="preserve"> tipo III</w:t>
            </w:r>
            <w:r>
              <w:rPr>
                <w:rFonts w:ascii="Arial" w:eastAsia="Arial" w:hAnsi="Arial" w:cs="Arial"/>
              </w:rPr>
              <w:t xml:space="preserve"> (herida &gt;10 cm, daño extenso de partes blandas, amputación traumática o herida por arma de fuego): </w:t>
            </w:r>
            <w:proofErr w:type="spellStart"/>
            <w:r>
              <w:rPr>
                <w:rFonts w:ascii="Arial" w:eastAsia="Arial" w:hAnsi="Arial" w:cs="Arial"/>
              </w:rPr>
              <w:t>cefazolina</w:t>
            </w:r>
            <w:proofErr w:type="spellEnd"/>
            <w:r>
              <w:rPr>
                <w:rFonts w:ascii="Arial" w:eastAsia="Arial" w:hAnsi="Arial" w:cs="Arial"/>
              </w:rPr>
              <w:t xml:space="preserve"> 2g </w:t>
            </w:r>
            <w:proofErr w:type="spellStart"/>
            <w:r>
              <w:rPr>
                <w:rFonts w:ascii="Arial" w:eastAsia="Arial" w:hAnsi="Arial" w:cs="Arial"/>
              </w:rPr>
              <w:t>iv</w:t>
            </w:r>
            <w:proofErr w:type="spellEnd"/>
            <w:r>
              <w:rPr>
                <w:rFonts w:ascii="Arial" w:eastAsia="Arial" w:hAnsi="Arial" w:cs="Arial"/>
              </w:rPr>
              <w:t xml:space="preserve"> dosis de carga, posteriormente 1g cada 8 horas + gentamicina 240 mg </w:t>
            </w:r>
            <w:proofErr w:type="spellStart"/>
            <w:r>
              <w:rPr>
                <w:rFonts w:ascii="Arial" w:eastAsia="Arial" w:hAnsi="Arial" w:cs="Arial"/>
              </w:rPr>
              <w:t>iv</w:t>
            </w:r>
            <w:proofErr w:type="spellEnd"/>
            <w:r>
              <w:rPr>
                <w:rFonts w:ascii="Arial" w:eastAsia="Arial" w:hAnsi="Arial" w:cs="Arial"/>
              </w:rPr>
              <w:t xml:space="preserve"> cada 24 horas. El tratamiento se mantendrá 72 horas, o hasta que el defecto cutáneo esté cerrado (lo que ocurra antes). </w:t>
            </w:r>
          </w:p>
          <w:p w14:paraId="02DE2DB5" w14:textId="77777777" w:rsidR="006D0C28" w:rsidRDefault="005614DA" w:rsidP="008E5011">
            <w:pPr>
              <w:numPr>
                <w:ilvl w:val="0"/>
                <w:numId w:val="1"/>
              </w:numPr>
              <w:spacing w:after="240" w:line="276" w:lineRule="auto"/>
              <w:ind w:right="420"/>
              <w:jc w:val="both"/>
              <w:rPr>
                <w:rFonts w:ascii="Arial" w:eastAsia="Arial" w:hAnsi="Arial" w:cs="Arial"/>
              </w:rPr>
            </w:pPr>
            <w:r>
              <w:rPr>
                <w:rFonts w:ascii="Arial" w:eastAsia="Arial" w:hAnsi="Arial" w:cs="Arial"/>
              </w:rPr>
              <w:t xml:space="preserve">Posibilidad de contaminación por </w:t>
            </w:r>
            <w:proofErr w:type="spellStart"/>
            <w:r>
              <w:rPr>
                <w:rFonts w:ascii="Arial" w:eastAsia="Arial" w:hAnsi="Arial" w:cs="Arial"/>
              </w:rPr>
              <w:t>Clostridium</w:t>
            </w:r>
            <w:proofErr w:type="spellEnd"/>
            <w:r>
              <w:rPr>
                <w:rFonts w:ascii="Arial" w:eastAsia="Arial" w:hAnsi="Arial" w:cs="Arial"/>
              </w:rPr>
              <w:t xml:space="preserve"> (fracturas relacionadas con actividades agrícolas, presencia abundante de restos orgánicos): añadir penicilina 4 millones de UI cada 4 horas durante 48 horas.</w:t>
            </w:r>
          </w:p>
          <w:p w14:paraId="208C330D" w14:textId="77777777" w:rsidR="006D0C28" w:rsidRDefault="005614DA" w:rsidP="008E5011">
            <w:pPr>
              <w:spacing w:before="240" w:after="240" w:line="276" w:lineRule="auto"/>
              <w:ind w:left="708" w:right="420"/>
              <w:jc w:val="both"/>
              <w:rPr>
                <w:rFonts w:ascii="Arial" w:eastAsia="Arial" w:hAnsi="Arial" w:cs="Arial"/>
              </w:rPr>
            </w:pPr>
            <w:r>
              <w:rPr>
                <w:rFonts w:ascii="Arial" w:eastAsia="Arial" w:hAnsi="Arial" w:cs="Arial"/>
              </w:rPr>
              <w:t xml:space="preserve">** En pacientes alérgicos a betalactámicos se puede utilizar vancomicina 1g </w:t>
            </w:r>
            <w:proofErr w:type="spellStart"/>
            <w:r>
              <w:rPr>
                <w:rFonts w:ascii="Arial" w:eastAsia="Arial" w:hAnsi="Arial" w:cs="Arial"/>
              </w:rPr>
              <w:t>iv</w:t>
            </w:r>
            <w:proofErr w:type="spellEnd"/>
            <w:r>
              <w:rPr>
                <w:rFonts w:ascii="Arial" w:eastAsia="Arial" w:hAnsi="Arial" w:cs="Arial"/>
              </w:rPr>
              <w:t xml:space="preserve"> cada 12 horas o clindamicina 900 mg </w:t>
            </w:r>
            <w:proofErr w:type="spellStart"/>
            <w:r>
              <w:rPr>
                <w:rFonts w:ascii="Arial" w:eastAsia="Arial" w:hAnsi="Arial" w:cs="Arial"/>
              </w:rPr>
              <w:t>iv</w:t>
            </w:r>
            <w:proofErr w:type="spellEnd"/>
            <w:r>
              <w:rPr>
                <w:rFonts w:ascii="Arial" w:eastAsia="Arial" w:hAnsi="Arial" w:cs="Arial"/>
              </w:rPr>
              <w:t xml:space="preserve"> cada 8 horas.</w:t>
            </w:r>
          </w:p>
          <w:p w14:paraId="3D8F3957" w14:textId="77777777" w:rsidR="006D0C28" w:rsidRDefault="005614DA" w:rsidP="008E5011">
            <w:pPr>
              <w:spacing w:before="240" w:after="240" w:line="276" w:lineRule="auto"/>
              <w:ind w:left="850" w:right="420"/>
              <w:jc w:val="both"/>
              <w:rPr>
                <w:rFonts w:ascii="Arial" w:eastAsia="Arial" w:hAnsi="Arial" w:cs="Arial"/>
                <w:b/>
              </w:rPr>
            </w:pPr>
            <w:proofErr w:type="gramStart"/>
            <w:r>
              <w:rPr>
                <w:rFonts w:ascii="Arial" w:eastAsia="Arial" w:hAnsi="Arial" w:cs="Arial"/>
                <w:b/>
              </w:rPr>
              <w:t>2.2  Heridas</w:t>
            </w:r>
            <w:proofErr w:type="gramEnd"/>
          </w:p>
          <w:p w14:paraId="3A979141" w14:textId="77777777" w:rsidR="006D0C28" w:rsidRDefault="005614DA" w:rsidP="008E5011">
            <w:pPr>
              <w:spacing w:before="240" w:after="240" w:line="276" w:lineRule="auto"/>
              <w:ind w:left="708" w:right="420"/>
              <w:jc w:val="both"/>
              <w:rPr>
                <w:rFonts w:ascii="Arial" w:eastAsia="Arial" w:hAnsi="Arial" w:cs="Arial"/>
              </w:rPr>
            </w:pPr>
            <w:r>
              <w:rPr>
                <w:rFonts w:ascii="Arial" w:eastAsia="Arial" w:hAnsi="Arial" w:cs="Arial"/>
              </w:rPr>
              <w:t xml:space="preserve">La profilaxis antibiótica no está indicada de forma sistemática en las heridas (por ejemplo, en las laceraciones simples no sería necesario), pero existen algunos factores relacionados con la herida o con el huésped que pueden aumentar el riesgo de infección: </w:t>
            </w:r>
          </w:p>
          <w:p w14:paraId="63AC2B80" w14:textId="77777777" w:rsidR="006D0C28" w:rsidRDefault="005614DA" w:rsidP="008E5011">
            <w:pPr>
              <w:numPr>
                <w:ilvl w:val="0"/>
                <w:numId w:val="3"/>
              </w:numPr>
              <w:spacing w:before="240" w:line="276" w:lineRule="auto"/>
              <w:ind w:left="1559" w:right="420" w:hanging="425"/>
              <w:jc w:val="both"/>
              <w:rPr>
                <w:rFonts w:ascii="Arial" w:eastAsia="Arial" w:hAnsi="Arial" w:cs="Arial"/>
              </w:rPr>
            </w:pPr>
            <w:r>
              <w:rPr>
                <w:rFonts w:ascii="Arial" w:eastAsia="Arial" w:hAnsi="Arial" w:cs="Arial"/>
                <w:u w:val="single"/>
              </w:rPr>
              <w:t>Factores relacionados con la herida</w:t>
            </w:r>
            <w:r>
              <w:rPr>
                <w:rFonts w:ascii="Arial" w:eastAsia="Arial" w:hAnsi="Arial" w:cs="Arial"/>
              </w:rPr>
              <w:t xml:space="preserve">: abundante contaminación con material orgánico, extensa pérdida de sustancia, mordeduras, heridas por asta de toro, heridas punzantes, </w:t>
            </w:r>
            <w:r>
              <w:rPr>
                <w:rFonts w:ascii="Arial" w:eastAsia="Arial" w:hAnsi="Arial" w:cs="Arial"/>
              </w:rPr>
              <w:lastRenderedPageBreak/>
              <w:t>lesiones por aplastamiento, heridas que comuniquen con la cavidad oral o articulares, heridas en zonas con escasa vascularización (pabellón auricular).</w:t>
            </w:r>
          </w:p>
          <w:p w14:paraId="5F0DB2E0" w14:textId="77777777" w:rsidR="006D0C28" w:rsidRDefault="005614DA" w:rsidP="008E5011">
            <w:pPr>
              <w:numPr>
                <w:ilvl w:val="0"/>
                <w:numId w:val="3"/>
              </w:numPr>
              <w:spacing w:line="276" w:lineRule="auto"/>
              <w:ind w:left="1559" w:right="420" w:hanging="425"/>
              <w:jc w:val="both"/>
              <w:rPr>
                <w:rFonts w:ascii="Arial" w:eastAsia="Arial" w:hAnsi="Arial" w:cs="Arial"/>
              </w:rPr>
            </w:pPr>
            <w:r>
              <w:rPr>
                <w:rFonts w:ascii="Arial" w:eastAsia="Arial" w:hAnsi="Arial" w:cs="Arial"/>
                <w:u w:val="single"/>
              </w:rPr>
              <w:t>Factores relacionados con el huésped</w:t>
            </w:r>
            <w:r>
              <w:rPr>
                <w:rFonts w:ascii="Arial" w:eastAsia="Arial" w:hAnsi="Arial" w:cs="Arial"/>
              </w:rPr>
              <w:t>: diabetes mellitus, riesgo elevado de endocarditis, portador de prótesis ortopédica.</w:t>
            </w:r>
          </w:p>
          <w:p w14:paraId="2B94325D" w14:textId="77777777" w:rsidR="006D0C28" w:rsidRDefault="005614DA" w:rsidP="008E5011">
            <w:pPr>
              <w:spacing w:before="240" w:line="276" w:lineRule="auto"/>
              <w:ind w:left="720" w:right="420"/>
              <w:jc w:val="both"/>
              <w:rPr>
                <w:rFonts w:ascii="Arial" w:eastAsia="Arial" w:hAnsi="Arial" w:cs="Arial"/>
                <w:b/>
              </w:rPr>
            </w:pPr>
            <w:r>
              <w:rPr>
                <w:rFonts w:ascii="Arial" w:eastAsia="Arial" w:hAnsi="Arial" w:cs="Arial"/>
              </w:rPr>
              <w:t xml:space="preserve">En estos casos, se podrá valorar la profilaxis antibiótica con amoxicilina-clavulánico 1g/200 mg cada 8 horas durante 48 horas. En pacientes alérgicos se puede emplear clindamicina 900 mg </w:t>
            </w:r>
            <w:proofErr w:type="spellStart"/>
            <w:r>
              <w:rPr>
                <w:rFonts w:ascii="Arial" w:eastAsia="Arial" w:hAnsi="Arial" w:cs="Arial"/>
              </w:rPr>
              <w:t>iv</w:t>
            </w:r>
            <w:proofErr w:type="spellEnd"/>
            <w:r>
              <w:rPr>
                <w:rFonts w:ascii="Arial" w:eastAsia="Arial" w:hAnsi="Arial" w:cs="Arial"/>
              </w:rPr>
              <w:t xml:space="preserve"> cada 8 horas.</w:t>
            </w:r>
          </w:p>
          <w:p w14:paraId="6F5CDE58" w14:textId="77777777" w:rsidR="006D0C28" w:rsidRDefault="005614DA" w:rsidP="008E5011">
            <w:pPr>
              <w:spacing w:before="240" w:after="240" w:line="276" w:lineRule="auto"/>
              <w:ind w:left="360" w:right="420"/>
              <w:jc w:val="both"/>
              <w:rPr>
                <w:rFonts w:ascii="Arial" w:eastAsia="Arial" w:hAnsi="Arial" w:cs="Arial"/>
                <w:b/>
              </w:rPr>
            </w:pPr>
            <w:r>
              <w:rPr>
                <w:rFonts w:ascii="Arial" w:eastAsia="Arial" w:hAnsi="Arial" w:cs="Arial"/>
                <w:b/>
              </w:rPr>
              <w:t>3.</w:t>
            </w:r>
            <w:r>
              <w:rPr>
                <w:rFonts w:ascii="Arial" w:eastAsia="Arial" w:hAnsi="Arial" w:cs="Arial"/>
                <w:b/>
                <w:sz w:val="14"/>
                <w:szCs w:val="14"/>
              </w:rPr>
              <w:t xml:space="preserve">      </w:t>
            </w:r>
            <w:r>
              <w:rPr>
                <w:rFonts w:ascii="Arial" w:eastAsia="Arial" w:hAnsi="Arial" w:cs="Arial"/>
                <w:b/>
              </w:rPr>
              <w:t>Profilaxis antitetánica</w:t>
            </w:r>
          </w:p>
          <w:p w14:paraId="58CAB786" w14:textId="77777777" w:rsidR="006D0C28" w:rsidRDefault="005614DA" w:rsidP="008E5011">
            <w:pPr>
              <w:spacing w:before="240" w:after="240" w:line="276" w:lineRule="auto"/>
              <w:ind w:left="708" w:right="420"/>
              <w:jc w:val="both"/>
              <w:rPr>
                <w:rFonts w:ascii="Arial" w:eastAsia="Arial" w:hAnsi="Arial" w:cs="Arial"/>
              </w:rPr>
            </w:pPr>
            <w:r>
              <w:rPr>
                <w:rFonts w:ascii="Arial" w:eastAsia="Arial" w:hAnsi="Arial" w:cs="Arial"/>
              </w:rPr>
              <w:t xml:space="preserve">La </w:t>
            </w:r>
            <w:proofErr w:type="spellStart"/>
            <w:r>
              <w:rPr>
                <w:rFonts w:ascii="Arial" w:eastAsia="Arial" w:hAnsi="Arial" w:cs="Arial"/>
              </w:rPr>
              <w:t>primovacunación</w:t>
            </w:r>
            <w:proofErr w:type="spellEnd"/>
            <w:r>
              <w:rPr>
                <w:rFonts w:ascii="Arial" w:eastAsia="Arial" w:hAnsi="Arial" w:cs="Arial"/>
              </w:rPr>
              <w:t xml:space="preserve"> frente a tétanos (y difteria) en España se realiza con una pauta de 3 dosis. La administración de 5 dosis asegura una protección duradera a lo largo de la vida. No se recomienda actualmente administrar dosis de recuerdo cada 10 años. </w:t>
            </w:r>
          </w:p>
          <w:p w14:paraId="73EF7CB3" w14:textId="77777777" w:rsidR="006D0C28" w:rsidRDefault="005614DA" w:rsidP="008E5011">
            <w:pPr>
              <w:spacing w:before="240" w:after="240" w:line="276" w:lineRule="auto"/>
              <w:ind w:left="360" w:right="420"/>
              <w:jc w:val="both"/>
              <w:rPr>
                <w:rFonts w:ascii="Arial" w:eastAsia="Arial" w:hAnsi="Arial" w:cs="Arial"/>
              </w:rPr>
            </w:pPr>
            <w:r>
              <w:rPr>
                <w:rFonts w:ascii="Arial" w:eastAsia="Arial" w:hAnsi="Arial" w:cs="Arial"/>
              </w:rPr>
              <w:t xml:space="preserve">      La profilaxis </w:t>
            </w:r>
            <w:proofErr w:type="spellStart"/>
            <w:r>
              <w:rPr>
                <w:rFonts w:ascii="Arial" w:eastAsia="Arial" w:hAnsi="Arial" w:cs="Arial"/>
              </w:rPr>
              <w:t>post-exposición</w:t>
            </w:r>
            <w:proofErr w:type="spellEnd"/>
            <w:r>
              <w:rPr>
                <w:rFonts w:ascii="Arial" w:eastAsia="Arial" w:hAnsi="Arial" w:cs="Arial"/>
              </w:rPr>
              <w:t xml:space="preserve"> ante heridas potencialmente </w:t>
            </w:r>
            <w:proofErr w:type="spellStart"/>
            <w:r>
              <w:rPr>
                <w:rFonts w:ascii="Arial" w:eastAsia="Arial" w:hAnsi="Arial" w:cs="Arial"/>
              </w:rPr>
              <w:t>tetanígenas</w:t>
            </w:r>
            <w:proofErr w:type="spellEnd"/>
            <w:r>
              <w:rPr>
                <w:rFonts w:ascii="Arial" w:eastAsia="Arial" w:hAnsi="Arial" w:cs="Arial"/>
              </w:rPr>
              <w:t xml:space="preserve"> consta de:</w:t>
            </w:r>
          </w:p>
          <w:p w14:paraId="458FC3E1" w14:textId="77777777" w:rsidR="006D0C28" w:rsidRDefault="005614DA" w:rsidP="008E5011">
            <w:pPr>
              <w:numPr>
                <w:ilvl w:val="0"/>
                <w:numId w:val="7"/>
              </w:numPr>
              <w:spacing w:before="240" w:line="276" w:lineRule="auto"/>
              <w:ind w:left="1559" w:right="420" w:hanging="425"/>
              <w:jc w:val="both"/>
              <w:rPr>
                <w:rFonts w:ascii="Arial" w:eastAsia="Arial" w:hAnsi="Arial" w:cs="Arial"/>
              </w:rPr>
            </w:pPr>
            <w:r>
              <w:rPr>
                <w:rFonts w:ascii="Arial" w:eastAsia="Arial" w:hAnsi="Arial" w:cs="Arial"/>
                <w:b/>
              </w:rPr>
              <w:t>Inmunoglobulina antitetánica (Gamma Anti-Tétanos)</w:t>
            </w:r>
            <w:r>
              <w:rPr>
                <w:rFonts w:ascii="Arial" w:eastAsia="Arial" w:hAnsi="Arial" w:cs="Arial"/>
              </w:rPr>
              <w:t>: proporciona protección   inmediata.</w:t>
            </w:r>
          </w:p>
          <w:p w14:paraId="375A7B76" w14:textId="77777777" w:rsidR="006D0C28" w:rsidRDefault="005614DA" w:rsidP="008E5011">
            <w:pPr>
              <w:numPr>
                <w:ilvl w:val="0"/>
                <w:numId w:val="7"/>
              </w:numPr>
              <w:spacing w:line="276" w:lineRule="auto"/>
              <w:ind w:left="1559" w:right="420" w:hanging="425"/>
              <w:jc w:val="both"/>
              <w:rPr>
                <w:rFonts w:ascii="Arial" w:eastAsia="Arial" w:hAnsi="Arial" w:cs="Arial"/>
              </w:rPr>
            </w:pPr>
            <w:r>
              <w:rPr>
                <w:rFonts w:ascii="Arial" w:eastAsia="Arial" w:hAnsi="Arial" w:cs="Arial"/>
                <w:b/>
              </w:rPr>
              <w:t>Vacuna (</w:t>
            </w:r>
            <w:proofErr w:type="spellStart"/>
            <w:r>
              <w:rPr>
                <w:rFonts w:ascii="Arial" w:eastAsia="Arial" w:hAnsi="Arial" w:cs="Arial"/>
                <w:b/>
              </w:rPr>
              <w:t>Td</w:t>
            </w:r>
            <w:proofErr w:type="spellEnd"/>
            <w:r>
              <w:rPr>
                <w:rFonts w:ascii="Arial" w:eastAsia="Arial" w:hAnsi="Arial" w:cs="Arial"/>
                <w:b/>
              </w:rPr>
              <w:t>):</w:t>
            </w:r>
            <w:r>
              <w:rPr>
                <w:rFonts w:ascii="Arial" w:eastAsia="Arial" w:hAnsi="Arial" w:cs="Arial"/>
              </w:rPr>
              <w:t xml:space="preserve"> la seroconversión comienza a los 4 días, por lo que proporciona protección para heridas posteriores (no inmediata). </w:t>
            </w:r>
          </w:p>
          <w:p w14:paraId="253F26D9" w14:textId="77777777" w:rsidR="006D0C28" w:rsidRDefault="005614DA" w:rsidP="008E5011">
            <w:pPr>
              <w:spacing w:before="240" w:after="240" w:line="276" w:lineRule="auto"/>
              <w:ind w:left="720" w:right="420"/>
              <w:jc w:val="both"/>
              <w:rPr>
                <w:rFonts w:ascii="Arial" w:eastAsia="Arial" w:hAnsi="Arial" w:cs="Arial"/>
              </w:rPr>
            </w:pPr>
            <w:r>
              <w:rPr>
                <w:rFonts w:ascii="Arial" w:eastAsia="Arial" w:hAnsi="Arial" w:cs="Arial"/>
              </w:rPr>
              <w:t xml:space="preserve">Clásicamente se han considerado heridas potencialmente </w:t>
            </w:r>
            <w:proofErr w:type="spellStart"/>
            <w:r>
              <w:rPr>
                <w:rFonts w:ascii="Arial" w:eastAsia="Arial" w:hAnsi="Arial" w:cs="Arial"/>
              </w:rPr>
              <w:t>tetanígenas</w:t>
            </w:r>
            <w:proofErr w:type="spellEnd"/>
            <w:r>
              <w:rPr>
                <w:rFonts w:ascii="Arial" w:eastAsia="Arial" w:hAnsi="Arial" w:cs="Arial"/>
              </w:rPr>
              <w:t xml:space="preserve">: heridas o quemaduras con un importante grado de tejido desvitalizado, herida punzante (particularmente donde ha habido contacto con suelo o estiércol), las contaminadas con cuerpo extraño, mordeduras, lesiones por congelación y lesiones por aplastamiento. Todas las fracturas abiertas se consideran también potencialmente </w:t>
            </w:r>
            <w:proofErr w:type="spellStart"/>
            <w:r>
              <w:rPr>
                <w:rFonts w:ascii="Arial" w:eastAsia="Arial" w:hAnsi="Arial" w:cs="Arial"/>
              </w:rPr>
              <w:t>tetanígenas</w:t>
            </w:r>
            <w:proofErr w:type="spellEnd"/>
            <w:r>
              <w:rPr>
                <w:rFonts w:ascii="Arial" w:eastAsia="Arial" w:hAnsi="Arial" w:cs="Arial"/>
              </w:rPr>
              <w:t>.</w:t>
            </w:r>
          </w:p>
          <w:p w14:paraId="02C22987" w14:textId="77777777" w:rsidR="006D0C28" w:rsidRDefault="005614DA" w:rsidP="008E5011">
            <w:pPr>
              <w:spacing w:before="240" w:after="240" w:line="276" w:lineRule="auto"/>
              <w:ind w:left="720" w:right="420"/>
              <w:jc w:val="both"/>
              <w:rPr>
                <w:rFonts w:ascii="Arial" w:eastAsia="Arial" w:hAnsi="Arial" w:cs="Arial"/>
                <w:b/>
                <w:color w:val="FF9900"/>
              </w:rPr>
            </w:pPr>
            <w:r>
              <w:rPr>
                <w:rFonts w:ascii="Arial" w:eastAsia="Arial" w:hAnsi="Arial" w:cs="Arial"/>
              </w:rPr>
              <w:t xml:space="preserve">Sin embargo, hay estudios que demuestran que las características de la herida no se relacionan de forma clara con la probabilidad de tétanos, y que incluso heridas menores pueden producirlo. Por lo tanto, está recomendada </w:t>
            </w:r>
            <w:r>
              <w:rPr>
                <w:rFonts w:ascii="Arial" w:eastAsia="Arial" w:hAnsi="Arial" w:cs="Arial"/>
                <w:b/>
              </w:rPr>
              <w:t>la administración de la inmunoglobulina antitetánica</w:t>
            </w:r>
            <w:r>
              <w:rPr>
                <w:rFonts w:ascii="Arial" w:eastAsia="Arial" w:hAnsi="Arial" w:cs="Arial"/>
              </w:rPr>
              <w:t xml:space="preserve"> </w:t>
            </w:r>
            <w:r>
              <w:rPr>
                <w:rFonts w:ascii="Arial" w:eastAsia="Arial" w:hAnsi="Arial" w:cs="Arial"/>
                <w:b/>
              </w:rPr>
              <w:t>en aquellos pacientes con heridas traumáticas de cualquier tipo cuyo historial de vacunación sea incompleto o desconocido.</w:t>
            </w:r>
            <w:r>
              <w:rPr>
                <w:rFonts w:ascii="Arial" w:eastAsia="Arial" w:hAnsi="Arial" w:cs="Arial"/>
              </w:rPr>
              <w:t xml:space="preserve"> La dosis estándar es 500 UI </w:t>
            </w:r>
            <w:proofErr w:type="spellStart"/>
            <w:r>
              <w:rPr>
                <w:rFonts w:ascii="Arial" w:eastAsia="Arial" w:hAnsi="Arial" w:cs="Arial"/>
              </w:rPr>
              <w:t>im</w:t>
            </w:r>
            <w:proofErr w:type="spellEnd"/>
            <w:r>
              <w:rPr>
                <w:rFonts w:ascii="Arial" w:eastAsia="Arial" w:hAnsi="Arial" w:cs="Arial"/>
              </w:rPr>
              <w:t xml:space="preserve"> dosis única. </w:t>
            </w:r>
          </w:p>
          <w:p w14:paraId="6DBFD996" w14:textId="77777777" w:rsidR="006D0C28" w:rsidRDefault="005614DA" w:rsidP="008E5011">
            <w:pPr>
              <w:spacing w:before="240" w:after="240" w:line="276" w:lineRule="auto"/>
              <w:ind w:left="720" w:right="420"/>
              <w:jc w:val="both"/>
              <w:rPr>
                <w:rFonts w:ascii="Arial" w:eastAsia="Arial" w:hAnsi="Arial" w:cs="Arial"/>
              </w:rPr>
            </w:pPr>
            <w:r>
              <w:rPr>
                <w:rFonts w:ascii="Arial" w:eastAsia="Arial" w:hAnsi="Arial" w:cs="Arial"/>
              </w:rPr>
              <w:t xml:space="preserve">No es necesario administrar la vacuna antitetánica durante la atención inicial, ya que no va a proteger al paciente frente a las heridas actuales. Se recomienda indagar en el estado vacunal del paciente a posteriori, y actualizar o iniciar la pauta en caso de que fuera necesario. Si la vacuna se administra durante la atención inicial, deberá hacerse en un lugar diferente a donde se administró la inmunoglobulina. </w:t>
            </w:r>
          </w:p>
          <w:p w14:paraId="740B3C83" w14:textId="77777777" w:rsidR="006D0C28" w:rsidRDefault="006D0C28" w:rsidP="008E5011">
            <w:pPr>
              <w:spacing w:before="120" w:after="120"/>
              <w:ind w:right="420"/>
              <w:jc w:val="both"/>
              <w:rPr>
                <w:rFonts w:ascii="Arial" w:eastAsia="Arial" w:hAnsi="Arial" w:cs="Arial"/>
              </w:rPr>
            </w:pPr>
          </w:p>
          <w:p w14:paraId="6E1D6972" w14:textId="77777777" w:rsidR="006D0C28" w:rsidRDefault="006D0C28" w:rsidP="008E5011">
            <w:pPr>
              <w:spacing w:before="120" w:after="120"/>
              <w:ind w:right="420"/>
              <w:jc w:val="both"/>
              <w:rPr>
                <w:rFonts w:ascii="Arial" w:eastAsia="Arial" w:hAnsi="Arial" w:cs="Arial"/>
              </w:rPr>
            </w:pPr>
          </w:p>
        </w:tc>
      </w:tr>
      <w:tr w:rsidR="006D0C28" w14:paraId="273E16D4" w14:textId="77777777">
        <w:trPr>
          <w:trHeight w:val="8631"/>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6A82828C" w14:textId="77777777" w:rsidR="006D0C28" w:rsidRDefault="005614DA" w:rsidP="008E5011">
            <w:pPr>
              <w:spacing w:before="120" w:after="120"/>
              <w:jc w:val="both"/>
              <w:rPr>
                <w:rFonts w:ascii="Arial" w:eastAsia="Arial" w:hAnsi="Arial" w:cs="Arial"/>
                <w:b/>
              </w:rPr>
            </w:pPr>
            <w:r>
              <w:rPr>
                <w:rFonts w:ascii="Arial" w:eastAsia="Arial" w:hAnsi="Arial" w:cs="Arial"/>
                <w:b/>
              </w:rPr>
              <w:lastRenderedPageBreak/>
              <w:t xml:space="preserve">Anexo 1: Clasificación de las fracturas abiertas de </w:t>
            </w:r>
            <w:proofErr w:type="spellStart"/>
            <w:r>
              <w:rPr>
                <w:rFonts w:ascii="Arial" w:eastAsia="Arial" w:hAnsi="Arial" w:cs="Arial"/>
                <w:b/>
              </w:rPr>
              <w:t>Gustilo</w:t>
            </w:r>
            <w:proofErr w:type="spellEnd"/>
            <w:r>
              <w:rPr>
                <w:rFonts w:ascii="Arial" w:eastAsia="Arial" w:hAnsi="Arial" w:cs="Arial"/>
                <w:b/>
              </w:rPr>
              <w:t xml:space="preserve"> (</w:t>
            </w:r>
            <w:proofErr w:type="spellStart"/>
            <w:r>
              <w:rPr>
                <w:rFonts w:ascii="Arial" w:eastAsia="Arial" w:hAnsi="Arial" w:cs="Arial"/>
                <w:b/>
              </w:rPr>
              <w:t>Gustilo</w:t>
            </w:r>
            <w:proofErr w:type="spellEnd"/>
            <w:r>
              <w:rPr>
                <w:rFonts w:ascii="Arial" w:eastAsia="Arial" w:hAnsi="Arial" w:cs="Arial"/>
                <w:b/>
              </w:rPr>
              <w:t xml:space="preserve"> y Anderson, 1976; </w:t>
            </w:r>
            <w:proofErr w:type="spellStart"/>
            <w:r>
              <w:rPr>
                <w:rFonts w:ascii="Arial" w:eastAsia="Arial" w:hAnsi="Arial" w:cs="Arial"/>
                <w:b/>
              </w:rPr>
              <w:t>Gustilo</w:t>
            </w:r>
            <w:proofErr w:type="spellEnd"/>
            <w:r>
              <w:rPr>
                <w:rFonts w:ascii="Arial" w:eastAsia="Arial" w:hAnsi="Arial" w:cs="Arial"/>
                <w:b/>
              </w:rPr>
              <w:t xml:space="preserve"> et al, 1984) y relación con antibioterapia en box de atención inicial.</w:t>
            </w:r>
          </w:p>
          <w:p w14:paraId="2BD716A4" w14:textId="77777777" w:rsidR="006D0C28" w:rsidRDefault="006D0C28" w:rsidP="008E5011">
            <w:pPr>
              <w:spacing w:before="120" w:after="120"/>
              <w:ind w:left="103"/>
              <w:jc w:val="both"/>
              <w:rPr>
                <w:rFonts w:ascii="Arial" w:eastAsia="Arial" w:hAnsi="Arial" w:cs="Arial"/>
                <w:b/>
              </w:rPr>
            </w:pPr>
          </w:p>
          <w:p w14:paraId="758C6CFD" w14:textId="77777777" w:rsidR="006D0C28" w:rsidRDefault="005614DA" w:rsidP="008E5011">
            <w:pPr>
              <w:spacing w:before="120" w:after="120"/>
              <w:jc w:val="both"/>
              <w:rPr>
                <w:rFonts w:ascii="Arial" w:eastAsia="Arial" w:hAnsi="Arial" w:cs="Arial"/>
                <w:b/>
              </w:rPr>
            </w:pPr>
            <w:r>
              <w:rPr>
                <w:rFonts w:ascii="Arial" w:eastAsia="Arial" w:hAnsi="Arial" w:cs="Arial"/>
                <w:b/>
              </w:rPr>
              <w:t xml:space="preserve">   </w:t>
            </w:r>
            <w:r>
              <w:rPr>
                <w:rFonts w:ascii="Arial" w:eastAsia="Arial" w:hAnsi="Arial" w:cs="Arial"/>
                <w:b/>
                <w:noProof/>
              </w:rPr>
              <w:drawing>
                <wp:inline distT="114300" distB="114300" distL="114300" distR="114300" wp14:anchorId="601B6481" wp14:editId="15EB85EE">
                  <wp:extent cx="4828635" cy="404135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28635" cy="4041358"/>
                          </a:xfrm>
                          <a:prstGeom prst="rect">
                            <a:avLst/>
                          </a:prstGeom>
                          <a:ln/>
                        </pic:spPr>
                      </pic:pic>
                    </a:graphicData>
                  </a:graphic>
                </wp:inline>
              </w:drawing>
            </w:r>
          </w:p>
        </w:tc>
      </w:tr>
      <w:tr w:rsidR="006D0C28" w14:paraId="284D60D2" w14:textId="77777777">
        <w:trPr>
          <w:trHeight w:val="540"/>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B7B7B7"/>
            <w:vAlign w:val="center"/>
          </w:tcPr>
          <w:p w14:paraId="13FE92AB" w14:textId="77777777" w:rsidR="006D0C28" w:rsidRDefault="005614DA" w:rsidP="008E5011">
            <w:pPr>
              <w:spacing w:before="120" w:after="120"/>
              <w:ind w:left="103"/>
              <w:jc w:val="both"/>
              <w:rPr>
                <w:rFonts w:ascii="Arial" w:eastAsia="Arial" w:hAnsi="Arial" w:cs="Arial"/>
                <w:b/>
              </w:rPr>
            </w:pPr>
            <w:r>
              <w:rPr>
                <w:rFonts w:ascii="Arial" w:eastAsia="Arial" w:hAnsi="Arial" w:cs="Arial"/>
                <w:b/>
              </w:rPr>
              <w:t>BIBLIOGRAFÍA</w:t>
            </w:r>
          </w:p>
        </w:tc>
      </w:tr>
      <w:tr w:rsidR="006D0C28" w14:paraId="4FBC21CA" w14:textId="77777777">
        <w:trPr>
          <w:trHeight w:val="615"/>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B8822B2" w14:textId="77777777" w:rsidR="006D0C28" w:rsidRDefault="005614DA" w:rsidP="008E5011">
            <w:pPr>
              <w:numPr>
                <w:ilvl w:val="0"/>
                <w:numId w:val="6"/>
              </w:numPr>
              <w:shd w:val="clear" w:color="auto" w:fill="FFFFFF"/>
              <w:spacing w:before="120"/>
              <w:jc w:val="both"/>
              <w:rPr>
                <w:rFonts w:ascii="Arial" w:eastAsia="Arial" w:hAnsi="Arial" w:cs="Arial"/>
              </w:rPr>
            </w:pPr>
            <w:r w:rsidRPr="008E5011">
              <w:rPr>
                <w:rFonts w:ascii="Arial" w:eastAsia="Arial" w:hAnsi="Arial" w:cs="Arial"/>
                <w:lang w:val="en-US"/>
              </w:rPr>
              <w:t xml:space="preserve">ATLS (Advanced Trauma Life Support) Manual 10th Edition. </w:t>
            </w:r>
            <w:r>
              <w:rPr>
                <w:rFonts w:ascii="Arial" w:eastAsia="Arial" w:hAnsi="Arial" w:cs="Arial"/>
              </w:rPr>
              <w:t>2018</w:t>
            </w:r>
          </w:p>
          <w:p w14:paraId="70A7C84C" w14:textId="77777777" w:rsidR="006D0C28" w:rsidRDefault="005614DA" w:rsidP="008E5011">
            <w:pPr>
              <w:numPr>
                <w:ilvl w:val="0"/>
                <w:numId w:val="6"/>
              </w:numPr>
              <w:shd w:val="clear" w:color="auto" w:fill="FFFFFF"/>
              <w:spacing w:before="120"/>
              <w:jc w:val="both"/>
              <w:rPr>
                <w:rFonts w:ascii="Arial" w:eastAsia="Arial" w:hAnsi="Arial" w:cs="Arial"/>
              </w:rPr>
            </w:pPr>
            <w:r w:rsidRPr="008E5011">
              <w:rPr>
                <w:rFonts w:ascii="Arial" w:eastAsia="Arial" w:hAnsi="Arial" w:cs="Arial"/>
                <w:lang w:val="en-US"/>
              </w:rPr>
              <w:t xml:space="preserve">German Trauma Society. Level 3 Guideline on the Treatment of Patients with Severe/Multiple Injuries. </w:t>
            </w:r>
            <w:proofErr w:type="spellStart"/>
            <w:r>
              <w:rPr>
                <w:rFonts w:ascii="Arial" w:eastAsia="Arial" w:hAnsi="Arial" w:cs="Arial"/>
              </w:rPr>
              <w:t>European</w:t>
            </w:r>
            <w:proofErr w:type="spellEnd"/>
            <w:r>
              <w:rPr>
                <w:rFonts w:ascii="Arial" w:eastAsia="Arial" w:hAnsi="Arial" w:cs="Arial"/>
              </w:rPr>
              <w:t xml:space="preserve"> </w:t>
            </w:r>
            <w:proofErr w:type="spellStart"/>
            <w:r>
              <w:rPr>
                <w:rFonts w:ascii="Arial" w:eastAsia="Arial" w:hAnsi="Arial" w:cs="Arial"/>
              </w:rPr>
              <w:t>Journal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Trauma and </w:t>
            </w:r>
            <w:proofErr w:type="spellStart"/>
            <w:r>
              <w:rPr>
                <w:rFonts w:ascii="Arial" w:eastAsia="Arial" w:hAnsi="Arial" w:cs="Arial"/>
              </w:rPr>
              <w:t>Emergency</w:t>
            </w:r>
            <w:proofErr w:type="spellEnd"/>
            <w:r>
              <w:rPr>
                <w:rFonts w:ascii="Arial" w:eastAsia="Arial" w:hAnsi="Arial" w:cs="Arial"/>
              </w:rPr>
              <w:t xml:space="preserve"> </w:t>
            </w:r>
            <w:proofErr w:type="spellStart"/>
            <w:r>
              <w:rPr>
                <w:rFonts w:ascii="Arial" w:eastAsia="Arial" w:hAnsi="Arial" w:cs="Arial"/>
              </w:rPr>
              <w:t>Surgery</w:t>
            </w:r>
            <w:proofErr w:type="spellEnd"/>
            <w:r>
              <w:rPr>
                <w:rFonts w:ascii="Arial" w:eastAsia="Arial" w:hAnsi="Arial" w:cs="Arial"/>
              </w:rPr>
              <w:t xml:space="preserve"> </w:t>
            </w:r>
            <w:proofErr w:type="gramStart"/>
            <w:r>
              <w:rPr>
                <w:rFonts w:ascii="Arial" w:eastAsia="Arial" w:hAnsi="Arial" w:cs="Arial"/>
              </w:rPr>
              <w:t>2018;44:3</w:t>
            </w:r>
            <w:proofErr w:type="gramEnd"/>
            <w:r>
              <w:rPr>
                <w:rFonts w:ascii="Arial" w:eastAsia="Arial" w:hAnsi="Arial" w:cs="Arial"/>
              </w:rPr>
              <w:t xml:space="preserve">–271 </w:t>
            </w:r>
          </w:p>
          <w:p w14:paraId="6FBC104E" w14:textId="77777777" w:rsidR="006D0C28" w:rsidRDefault="005614DA" w:rsidP="008E5011">
            <w:pPr>
              <w:numPr>
                <w:ilvl w:val="0"/>
                <w:numId w:val="6"/>
              </w:numPr>
              <w:shd w:val="clear" w:color="auto" w:fill="FFFFFF"/>
              <w:spacing w:before="120"/>
              <w:jc w:val="both"/>
              <w:rPr>
                <w:rFonts w:ascii="Arial" w:eastAsia="Arial" w:hAnsi="Arial" w:cs="Arial"/>
              </w:rPr>
            </w:pPr>
            <w:r>
              <w:rPr>
                <w:rFonts w:ascii="Arial" w:eastAsia="Arial" w:hAnsi="Arial" w:cs="Arial"/>
              </w:rPr>
              <w:t xml:space="preserve">Muñoz Vives JM, Caba </w:t>
            </w:r>
            <w:proofErr w:type="spellStart"/>
            <w:r>
              <w:rPr>
                <w:rFonts w:ascii="Arial" w:eastAsia="Arial" w:hAnsi="Arial" w:cs="Arial"/>
              </w:rPr>
              <w:t>Doussoux</w:t>
            </w:r>
            <w:proofErr w:type="spellEnd"/>
            <w:r>
              <w:rPr>
                <w:rFonts w:ascii="Arial" w:eastAsia="Arial" w:hAnsi="Arial" w:cs="Arial"/>
              </w:rPr>
              <w:t xml:space="preserve"> P, Martí i Garín D. Fracturas abiertas. </w:t>
            </w:r>
            <w:proofErr w:type="spellStart"/>
            <w:r>
              <w:rPr>
                <w:rFonts w:ascii="Arial" w:eastAsia="Arial" w:hAnsi="Arial" w:cs="Arial"/>
              </w:rPr>
              <w:t>Rev</w:t>
            </w:r>
            <w:proofErr w:type="spellEnd"/>
            <w:r>
              <w:rPr>
                <w:rFonts w:ascii="Arial" w:eastAsia="Arial" w:hAnsi="Arial" w:cs="Arial"/>
              </w:rPr>
              <w:t xml:space="preserve"> </w:t>
            </w:r>
            <w:proofErr w:type="spellStart"/>
            <w:r>
              <w:rPr>
                <w:rFonts w:ascii="Arial" w:eastAsia="Arial" w:hAnsi="Arial" w:cs="Arial"/>
              </w:rPr>
              <w:t>Esp</w:t>
            </w:r>
            <w:proofErr w:type="spellEnd"/>
            <w:r>
              <w:rPr>
                <w:rFonts w:ascii="Arial" w:eastAsia="Arial" w:hAnsi="Arial" w:cs="Arial"/>
              </w:rPr>
              <w:t xml:space="preserve"> </w:t>
            </w:r>
            <w:proofErr w:type="spellStart"/>
            <w:r>
              <w:rPr>
                <w:rFonts w:ascii="Arial" w:eastAsia="Arial" w:hAnsi="Arial" w:cs="Arial"/>
              </w:rPr>
              <w:t>Cir</w:t>
            </w:r>
            <w:proofErr w:type="spellEnd"/>
            <w:r>
              <w:rPr>
                <w:rFonts w:ascii="Arial" w:eastAsia="Arial" w:hAnsi="Arial" w:cs="Arial"/>
              </w:rPr>
              <w:t xml:space="preserve"> </w:t>
            </w:r>
            <w:proofErr w:type="spellStart"/>
            <w:r>
              <w:rPr>
                <w:rFonts w:ascii="Arial" w:eastAsia="Arial" w:hAnsi="Arial" w:cs="Arial"/>
              </w:rPr>
              <w:t>Ortop</w:t>
            </w:r>
            <w:proofErr w:type="spellEnd"/>
            <w:r>
              <w:rPr>
                <w:rFonts w:ascii="Arial" w:eastAsia="Arial" w:hAnsi="Arial" w:cs="Arial"/>
              </w:rPr>
              <w:t xml:space="preserve"> </w:t>
            </w:r>
            <w:proofErr w:type="spellStart"/>
            <w:r>
              <w:rPr>
                <w:rFonts w:ascii="Arial" w:eastAsia="Arial" w:hAnsi="Arial" w:cs="Arial"/>
              </w:rPr>
              <w:t>Traumatol</w:t>
            </w:r>
            <w:proofErr w:type="spellEnd"/>
            <w:r>
              <w:rPr>
                <w:rFonts w:ascii="Arial" w:eastAsia="Arial" w:hAnsi="Arial" w:cs="Arial"/>
              </w:rPr>
              <w:t xml:space="preserve"> 2010;54(6):399–410.</w:t>
            </w:r>
          </w:p>
          <w:p w14:paraId="1CCA748D" w14:textId="77777777" w:rsidR="006D0C28" w:rsidRDefault="005614DA" w:rsidP="008E5011">
            <w:pPr>
              <w:numPr>
                <w:ilvl w:val="0"/>
                <w:numId w:val="6"/>
              </w:numPr>
              <w:shd w:val="clear" w:color="auto" w:fill="FFFFFF"/>
              <w:jc w:val="both"/>
              <w:rPr>
                <w:rFonts w:ascii="Arial" w:eastAsia="Arial" w:hAnsi="Arial" w:cs="Arial"/>
              </w:rPr>
            </w:pPr>
            <w:r>
              <w:rPr>
                <w:rFonts w:ascii="Arial" w:eastAsia="Arial" w:hAnsi="Arial" w:cs="Arial"/>
              </w:rPr>
              <w:t xml:space="preserve">Briones y Dr. </w:t>
            </w:r>
            <w:proofErr w:type="spellStart"/>
            <w:r>
              <w:rPr>
                <w:rFonts w:ascii="Arial" w:eastAsia="Arial" w:hAnsi="Arial" w:cs="Arial"/>
              </w:rPr>
              <w:t>Aleksandar</w:t>
            </w:r>
            <w:proofErr w:type="spellEnd"/>
            <w:r>
              <w:rPr>
                <w:rFonts w:ascii="Arial" w:eastAsia="Arial" w:hAnsi="Arial" w:cs="Arial"/>
              </w:rPr>
              <w:t xml:space="preserve"> </w:t>
            </w:r>
            <w:proofErr w:type="spellStart"/>
            <w:r>
              <w:rPr>
                <w:rFonts w:ascii="Arial" w:eastAsia="Arial" w:hAnsi="Arial" w:cs="Arial"/>
              </w:rPr>
              <w:t>Lovic</w:t>
            </w:r>
            <w:proofErr w:type="spellEnd"/>
            <w:r>
              <w:rPr>
                <w:rFonts w:ascii="Arial" w:eastAsia="Arial" w:hAnsi="Arial" w:cs="Arial"/>
              </w:rPr>
              <w:t xml:space="preserve"> DAO. Guía de manejo multidisciplinar de fracturas abiertas [Internet]. 2024. Disponible en: https://www.secot.es/media/docs/publicaciones/GUIA_DE_MANEJO_MULTIDISCIPLINAR_FRACTURAS_ABIERTAS.pdf</w:t>
            </w:r>
          </w:p>
          <w:p w14:paraId="1DE61493" w14:textId="77777777" w:rsidR="006D0C28" w:rsidRDefault="005614DA" w:rsidP="008E5011">
            <w:pPr>
              <w:numPr>
                <w:ilvl w:val="0"/>
                <w:numId w:val="6"/>
              </w:numPr>
              <w:shd w:val="clear" w:color="auto" w:fill="FFFFFF"/>
              <w:spacing w:after="120"/>
              <w:jc w:val="both"/>
              <w:rPr>
                <w:rFonts w:ascii="Arial" w:eastAsia="Arial" w:hAnsi="Arial" w:cs="Arial"/>
              </w:rPr>
            </w:pPr>
            <w:r>
              <w:rPr>
                <w:rFonts w:ascii="Arial" w:eastAsia="Arial" w:hAnsi="Arial" w:cs="Arial"/>
              </w:rPr>
              <w:t xml:space="preserve">Vera AJJ, de Llano </w:t>
            </w:r>
            <w:proofErr w:type="spellStart"/>
            <w:r>
              <w:rPr>
                <w:rFonts w:ascii="Arial" w:eastAsia="Arial" w:hAnsi="Arial" w:cs="Arial"/>
              </w:rPr>
              <w:t>Temboury</w:t>
            </w:r>
            <w:proofErr w:type="spellEnd"/>
            <w:r>
              <w:rPr>
                <w:rFonts w:ascii="Arial" w:eastAsia="Arial" w:hAnsi="Arial" w:cs="Arial"/>
              </w:rPr>
              <w:t xml:space="preserve"> JMGPCAQ. CAPÍTULO 47 - CLASIFICACIÓN FRACTURAS. PRINCIPIOS GENERALES. Disponible en: </w:t>
            </w:r>
            <w:hyperlink r:id="rId10">
              <w:r>
                <w:rPr>
                  <w:rFonts w:ascii="Arial" w:eastAsia="Arial" w:hAnsi="Arial" w:cs="Arial"/>
                  <w:color w:val="1155CC"/>
                  <w:u w:val="single"/>
                </w:rPr>
                <w:t>https://unitia.secot.es/web/manual_residente/CAPITULO%2047.pdf</w:t>
              </w:r>
            </w:hyperlink>
          </w:p>
          <w:p w14:paraId="1EB00C98" w14:textId="77777777" w:rsidR="006D0C28" w:rsidRPr="008E5011" w:rsidRDefault="005614DA" w:rsidP="008E5011">
            <w:pPr>
              <w:numPr>
                <w:ilvl w:val="0"/>
                <w:numId w:val="6"/>
              </w:numPr>
              <w:shd w:val="clear" w:color="auto" w:fill="FFFFFF"/>
              <w:spacing w:after="120"/>
              <w:jc w:val="both"/>
              <w:rPr>
                <w:rFonts w:ascii="Arial" w:eastAsia="Arial" w:hAnsi="Arial" w:cs="Arial"/>
                <w:lang w:val="en-US"/>
              </w:rPr>
            </w:pPr>
            <w:r w:rsidRPr="008E5011">
              <w:rPr>
                <w:rFonts w:ascii="Arial" w:eastAsia="Arial" w:hAnsi="Arial" w:cs="Arial"/>
                <w:lang w:val="en-US"/>
              </w:rPr>
              <w:t xml:space="preserve">Moreira M, </w:t>
            </w:r>
            <w:proofErr w:type="spellStart"/>
            <w:r w:rsidRPr="008E5011">
              <w:rPr>
                <w:rFonts w:ascii="Arial" w:eastAsia="Arial" w:hAnsi="Arial" w:cs="Arial"/>
                <w:lang w:val="en-US"/>
              </w:rPr>
              <w:t>Markovchick</w:t>
            </w:r>
            <w:proofErr w:type="spellEnd"/>
            <w:r w:rsidRPr="008E5011">
              <w:rPr>
                <w:rFonts w:ascii="Arial" w:eastAsia="Arial" w:hAnsi="Arial" w:cs="Arial"/>
                <w:lang w:val="en-US"/>
              </w:rPr>
              <w:t xml:space="preserve"> V. Wound Management. </w:t>
            </w:r>
            <w:proofErr w:type="spellStart"/>
            <w:r w:rsidRPr="008E5011">
              <w:rPr>
                <w:rFonts w:ascii="Arial" w:eastAsia="Arial" w:hAnsi="Arial" w:cs="Arial"/>
                <w:lang w:val="en-US"/>
              </w:rPr>
              <w:t>Emerg</w:t>
            </w:r>
            <w:proofErr w:type="spellEnd"/>
            <w:r w:rsidRPr="008E5011">
              <w:rPr>
                <w:rFonts w:ascii="Arial" w:eastAsia="Arial" w:hAnsi="Arial" w:cs="Arial"/>
                <w:lang w:val="en-US"/>
              </w:rPr>
              <w:t xml:space="preserve"> Med Clin N Am 2007;25 873–899</w:t>
            </w:r>
          </w:p>
          <w:p w14:paraId="62DFD7BE" w14:textId="77777777" w:rsidR="006D0C28" w:rsidRDefault="005614DA" w:rsidP="008E5011">
            <w:pPr>
              <w:numPr>
                <w:ilvl w:val="0"/>
                <w:numId w:val="6"/>
              </w:numPr>
              <w:shd w:val="clear" w:color="auto" w:fill="FFFFFF"/>
              <w:spacing w:after="120"/>
              <w:jc w:val="both"/>
              <w:rPr>
                <w:rFonts w:ascii="Arial" w:eastAsia="Arial" w:hAnsi="Arial" w:cs="Arial"/>
              </w:rPr>
            </w:pPr>
            <w:proofErr w:type="spellStart"/>
            <w:r w:rsidRPr="008E5011">
              <w:rPr>
                <w:rFonts w:ascii="Arial" w:eastAsia="Arial" w:hAnsi="Arial" w:cs="Arial"/>
                <w:lang w:val="en-US"/>
              </w:rPr>
              <w:t>DeBoard</w:t>
            </w:r>
            <w:proofErr w:type="spellEnd"/>
            <w:r w:rsidRPr="008E5011">
              <w:rPr>
                <w:rFonts w:ascii="Arial" w:eastAsia="Arial" w:hAnsi="Arial" w:cs="Arial"/>
                <w:lang w:val="en-US"/>
              </w:rPr>
              <w:t xml:space="preserve"> R, Rondeau D, Kang C, </w:t>
            </w:r>
            <w:proofErr w:type="spellStart"/>
            <w:r w:rsidRPr="008E5011">
              <w:rPr>
                <w:rFonts w:ascii="Arial" w:eastAsia="Arial" w:hAnsi="Arial" w:cs="Arial"/>
                <w:lang w:val="en-US"/>
              </w:rPr>
              <w:t>Sabbaj</w:t>
            </w:r>
            <w:proofErr w:type="spellEnd"/>
            <w:r w:rsidRPr="008E5011">
              <w:rPr>
                <w:rFonts w:ascii="Arial" w:eastAsia="Arial" w:hAnsi="Arial" w:cs="Arial"/>
                <w:lang w:val="en-US"/>
              </w:rPr>
              <w:t xml:space="preserve"> A, McManus J. Principles of Basic Wound Evaluation and Management in the Emergency Department. </w:t>
            </w:r>
            <w:proofErr w:type="spellStart"/>
            <w:r>
              <w:rPr>
                <w:rFonts w:ascii="Arial" w:eastAsia="Arial" w:hAnsi="Arial" w:cs="Arial"/>
              </w:rPr>
              <w:t>Emerg</w:t>
            </w:r>
            <w:proofErr w:type="spellEnd"/>
            <w:r>
              <w:rPr>
                <w:rFonts w:ascii="Arial" w:eastAsia="Arial" w:hAnsi="Arial" w:cs="Arial"/>
              </w:rPr>
              <w:t xml:space="preserve"> </w:t>
            </w:r>
            <w:proofErr w:type="spellStart"/>
            <w:r>
              <w:rPr>
                <w:rFonts w:ascii="Arial" w:eastAsia="Arial" w:hAnsi="Arial" w:cs="Arial"/>
              </w:rPr>
              <w:t>Med</w:t>
            </w:r>
            <w:proofErr w:type="spellEnd"/>
            <w:r>
              <w:rPr>
                <w:rFonts w:ascii="Arial" w:eastAsia="Arial" w:hAnsi="Arial" w:cs="Arial"/>
              </w:rPr>
              <w:t xml:space="preserve"> Clin N Am </w:t>
            </w:r>
            <w:proofErr w:type="gramStart"/>
            <w:r>
              <w:rPr>
                <w:rFonts w:ascii="Arial" w:eastAsia="Arial" w:hAnsi="Arial" w:cs="Arial"/>
              </w:rPr>
              <w:t>2007;25:23</w:t>
            </w:r>
            <w:proofErr w:type="gramEnd"/>
            <w:r>
              <w:rPr>
                <w:rFonts w:ascii="Arial" w:eastAsia="Arial" w:hAnsi="Arial" w:cs="Arial"/>
              </w:rPr>
              <w:t>–39</w:t>
            </w:r>
          </w:p>
          <w:p w14:paraId="40647A87" w14:textId="77777777" w:rsidR="006D0C28" w:rsidRDefault="005614DA" w:rsidP="008E5011">
            <w:pPr>
              <w:numPr>
                <w:ilvl w:val="0"/>
                <w:numId w:val="6"/>
              </w:numPr>
              <w:shd w:val="clear" w:color="auto" w:fill="FFFFFF"/>
              <w:spacing w:after="120"/>
              <w:jc w:val="both"/>
              <w:rPr>
                <w:rFonts w:ascii="Arial" w:eastAsia="Arial" w:hAnsi="Arial" w:cs="Arial"/>
              </w:rPr>
            </w:pPr>
            <w:proofErr w:type="spellStart"/>
            <w:r w:rsidRPr="008E5011">
              <w:rPr>
                <w:rFonts w:ascii="Arial" w:eastAsia="Arial" w:hAnsi="Arial" w:cs="Arial"/>
                <w:lang w:val="fr-FR"/>
              </w:rPr>
              <w:lastRenderedPageBreak/>
              <w:t>Coccolini</w:t>
            </w:r>
            <w:proofErr w:type="spellEnd"/>
            <w:r w:rsidRPr="008E5011">
              <w:rPr>
                <w:rFonts w:ascii="Arial" w:eastAsia="Arial" w:hAnsi="Arial" w:cs="Arial"/>
                <w:lang w:val="fr-FR"/>
              </w:rPr>
              <w:t xml:space="preserve"> F, </w:t>
            </w:r>
            <w:proofErr w:type="spellStart"/>
            <w:r w:rsidRPr="008E5011">
              <w:rPr>
                <w:rFonts w:ascii="Arial" w:eastAsia="Arial" w:hAnsi="Arial" w:cs="Arial"/>
                <w:lang w:val="fr-FR"/>
              </w:rPr>
              <w:t>Sartelli</w:t>
            </w:r>
            <w:proofErr w:type="spellEnd"/>
            <w:r w:rsidRPr="008E5011">
              <w:rPr>
                <w:rFonts w:ascii="Arial" w:eastAsia="Arial" w:hAnsi="Arial" w:cs="Arial"/>
                <w:lang w:val="fr-FR"/>
              </w:rPr>
              <w:t xml:space="preserve"> M, Sawyer R, Rasa K, </w:t>
            </w:r>
            <w:proofErr w:type="spellStart"/>
            <w:r w:rsidRPr="008E5011">
              <w:rPr>
                <w:rFonts w:ascii="Arial" w:eastAsia="Arial" w:hAnsi="Arial" w:cs="Arial"/>
                <w:lang w:val="fr-FR"/>
              </w:rPr>
              <w:t>Ceresoli</w:t>
            </w:r>
            <w:proofErr w:type="spellEnd"/>
            <w:r w:rsidRPr="008E5011">
              <w:rPr>
                <w:rFonts w:ascii="Arial" w:eastAsia="Arial" w:hAnsi="Arial" w:cs="Arial"/>
                <w:lang w:val="fr-FR"/>
              </w:rPr>
              <w:t xml:space="preserve"> M, </w:t>
            </w:r>
            <w:proofErr w:type="spellStart"/>
            <w:r w:rsidRPr="008E5011">
              <w:rPr>
                <w:rFonts w:ascii="Arial" w:eastAsia="Arial" w:hAnsi="Arial" w:cs="Arial"/>
                <w:lang w:val="fr-FR"/>
              </w:rPr>
              <w:t>Viaggi</w:t>
            </w:r>
            <w:proofErr w:type="spellEnd"/>
            <w:r w:rsidRPr="008E5011">
              <w:rPr>
                <w:rFonts w:ascii="Arial" w:eastAsia="Arial" w:hAnsi="Arial" w:cs="Arial"/>
                <w:lang w:val="fr-FR"/>
              </w:rPr>
              <w:t xml:space="preserve"> B et al. </w:t>
            </w:r>
            <w:r w:rsidRPr="008E5011">
              <w:rPr>
                <w:rFonts w:ascii="Arial" w:eastAsia="Arial" w:hAnsi="Arial" w:cs="Arial"/>
                <w:lang w:val="en-US"/>
              </w:rPr>
              <w:t xml:space="preserve">Antibiotic prophylaxis in trauma: Global Alliance for Infection in Surgery, Surgical Infection Society Europe, World Surgical Infection Society, American Association for the Surgery of Trauma, World Society of Emergency Surgery Guidelines. </w:t>
            </w:r>
            <w:r>
              <w:rPr>
                <w:rFonts w:ascii="Arial" w:eastAsia="Arial" w:hAnsi="Arial" w:cs="Arial"/>
              </w:rPr>
              <w:t xml:space="preserve">J Trauma Acute Care </w:t>
            </w:r>
            <w:proofErr w:type="spellStart"/>
            <w:r>
              <w:rPr>
                <w:rFonts w:ascii="Arial" w:eastAsia="Arial" w:hAnsi="Arial" w:cs="Arial"/>
              </w:rPr>
              <w:t>Surg</w:t>
            </w:r>
            <w:proofErr w:type="spellEnd"/>
            <w:r>
              <w:rPr>
                <w:rFonts w:ascii="Arial" w:eastAsia="Arial" w:hAnsi="Arial" w:cs="Arial"/>
              </w:rPr>
              <w:t xml:space="preserve"> 2024;96(4)</w:t>
            </w:r>
          </w:p>
          <w:p w14:paraId="69BD5319" w14:textId="77777777" w:rsidR="006D0C28" w:rsidRDefault="005614DA" w:rsidP="008E5011">
            <w:pPr>
              <w:numPr>
                <w:ilvl w:val="0"/>
                <w:numId w:val="6"/>
              </w:numPr>
              <w:shd w:val="clear" w:color="auto" w:fill="FFFFFF"/>
              <w:spacing w:after="120"/>
              <w:jc w:val="both"/>
              <w:rPr>
                <w:rFonts w:ascii="Arial" w:eastAsia="Arial" w:hAnsi="Arial" w:cs="Arial"/>
              </w:rPr>
            </w:pPr>
            <w:r w:rsidRPr="008E5011">
              <w:rPr>
                <w:rFonts w:ascii="Arial" w:eastAsia="Arial" w:hAnsi="Arial" w:cs="Arial"/>
                <w:lang w:val="en-US"/>
              </w:rPr>
              <w:t xml:space="preserve">Hoff W, </w:t>
            </w:r>
            <w:proofErr w:type="spellStart"/>
            <w:r w:rsidRPr="008E5011">
              <w:rPr>
                <w:rFonts w:ascii="Arial" w:eastAsia="Arial" w:hAnsi="Arial" w:cs="Arial"/>
                <w:lang w:val="en-US"/>
              </w:rPr>
              <w:t>Bonadies</w:t>
            </w:r>
            <w:proofErr w:type="spellEnd"/>
            <w:r w:rsidRPr="008E5011">
              <w:rPr>
                <w:rFonts w:ascii="Arial" w:eastAsia="Arial" w:hAnsi="Arial" w:cs="Arial"/>
                <w:lang w:val="en-US"/>
              </w:rPr>
              <w:t xml:space="preserve"> J, </w:t>
            </w:r>
            <w:proofErr w:type="spellStart"/>
            <w:r w:rsidRPr="008E5011">
              <w:rPr>
                <w:rFonts w:ascii="Arial" w:eastAsia="Arial" w:hAnsi="Arial" w:cs="Arial"/>
                <w:lang w:val="en-US"/>
              </w:rPr>
              <w:t>Cachecho</w:t>
            </w:r>
            <w:proofErr w:type="spellEnd"/>
            <w:r w:rsidRPr="008E5011">
              <w:rPr>
                <w:rFonts w:ascii="Arial" w:eastAsia="Arial" w:hAnsi="Arial" w:cs="Arial"/>
                <w:lang w:val="en-US"/>
              </w:rPr>
              <w:t xml:space="preserve"> R, </w:t>
            </w:r>
            <w:proofErr w:type="spellStart"/>
            <w:r w:rsidRPr="008E5011">
              <w:rPr>
                <w:rFonts w:ascii="Arial" w:eastAsia="Arial" w:hAnsi="Arial" w:cs="Arial"/>
                <w:lang w:val="en-US"/>
              </w:rPr>
              <w:t>Dorlac</w:t>
            </w:r>
            <w:proofErr w:type="spellEnd"/>
            <w:r w:rsidRPr="008E5011">
              <w:rPr>
                <w:rFonts w:ascii="Arial" w:eastAsia="Arial" w:hAnsi="Arial" w:cs="Arial"/>
                <w:lang w:val="en-US"/>
              </w:rPr>
              <w:t xml:space="preserve"> W. East Practice Management Guidelines Work Group: Update to Practice Management Guidelines for Prophylactic Antibiotic Use in Open Fractures. </w:t>
            </w:r>
            <w:r>
              <w:rPr>
                <w:rFonts w:ascii="Arial" w:eastAsia="Arial" w:hAnsi="Arial" w:cs="Arial"/>
              </w:rPr>
              <w:t>J Trauma 2011;70(3)</w:t>
            </w:r>
          </w:p>
          <w:p w14:paraId="1F29DFEB" w14:textId="77777777" w:rsidR="006D0C28" w:rsidRDefault="005614DA" w:rsidP="008E5011">
            <w:pPr>
              <w:numPr>
                <w:ilvl w:val="0"/>
                <w:numId w:val="6"/>
              </w:numPr>
              <w:shd w:val="clear" w:color="auto" w:fill="FFFFFF"/>
              <w:spacing w:after="120"/>
              <w:jc w:val="both"/>
              <w:rPr>
                <w:rFonts w:ascii="Arial" w:eastAsia="Arial" w:hAnsi="Arial" w:cs="Arial"/>
              </w:rPr>
            </w:pPr>
            <w:r w:rsidRPr="008E5011">
              <w:rPr>
                <w:rFonts w:ascii="Arial" w:eastAsia="Arial" w:hAnsi="Arial" w:cs="Arial"/>
                <w:lang w:val="en-US"/>
              </w:rPr>
              <w:t xml:space="preserve">The FLOW Investigators. A Trial of Wound Irrigation in the Initial Management of Open Fractures. </w:t>
            </w:r>
            <w:r>
              <w:rPr>
                <w:rFonts w:ascii="Arial" w:eastAsia="Arial" w:hAnsi="Arial" w:cs="Arial"/>
              </w:rPr>
              <w:t xml:space="preserve">N Engl J </w:t>
            </w:r>
            <w:proofErr w:type="spellStart"/>
            <w:r>
              <w:rPr>
                <w:rFonts w:ascii="Arial" w:eastAsia="Arial" w:hAnsi="Arial" w:cs="Arial"/>
              </w:rPr>
              <w:t>Med</w:t>
            </w:r>
            <w:proofErr w:type="spellEnd"/>
            <w:r>
              <w:rPr>
                <w:rFonts w:ascii="Arial" w:eastAsia="Arial" w:hAnsi="Arial" w:cs="Arial"/>
              </w:rPr>
              <w:t xml:space="preserve"> </w:t>
            </w:r>
            <w:proofErr w:type="gramStart"/>
            <w:r>
              <w:rPr>
                <w:rFonts w:ascii="Arial" w:eastAsia="Arial" w:hAnsi="Arial" w:cs="Arial"/>
              </w:rPr>
              <w:t>2015;373:2629</w:t>
            </w:r>
            <w:proofErr w:type="gramEnd"/>
            <w:r>
              <w:rPr>
                <w:rFonts w:ascii="Arial" w:eastAsia="Arial" w:hAnsi="Arial" w:cs="Arial"/>
              </w:rPr>
              <w:t>–41.</w:t>
            </w:r>
          </w:p>
          <w:p w14:paraId="247FFB30" w14:textId="77777777" w:rsidR="006D0C28" w:rsidRDefault="005614DA" w:rsidP="008E5011">
            <w:pPr>
              <w:numPr>
                <w:ilvl w:val="0"/>
                <w:numId w:val="6"/>
              </w:numPr>
              <w:shd w:val="clear" w:color="auto" w:fill="FFFFFF"/>
              <w:spacing w:after="120"/>
              <w:jc w:val="both"/>
              <w:rPr>
                <w:rFonts w:ascii="Arial" w:eastAsia="Arial" w:hAnsi="Arial" w:cs="Arial"/>
              </w:rPr>
            </w:pPr>
            <w:r w:rsidRPr="008E5011">
              <w:rPr>
                <w:rFonts w:ascii="Arial" w:eastAsia="Arial" w:hAnsi="Arial" w:cs="Arial"/>
                <w:lang w:val="en-US"/>
              </w:rPr>
              <w:t xml:space="preserve">Rhee P, Nunley M, </w:t>
            </w:r>
            <w:proofErr w:type="spellStart"/>
            <w:r w:rsidRPr="008E5011">
              <w:rPr>
                <w:rFonts w:ascii="Arial" w:eastAsia="Arial" w:hAnsi="Arial" w:cs="Arial"/>
                <w:lang w:val="en-US"/>
              </w:rPr>
              <w:t>Demetriades</w:t>
            </w:r>
            <w:proofErr w:type="spellEnd"/>
            <w:r w:rsidRPr="008E5011">
              <w:rPr>
                <w:rFonts w:ascii="Arial" w:eastAsia="Arial" w:hAnsi="Arial" w:cs="Arial"/>
                <w:lang w:val="en-US"/>
              </w:rPr>
              <w:t xml:space="preserve"> D, </w:t>
            </w:r>
            <w:proofErr w:type="spellStart"/>
            <w:r w:rsidRPr="008E5011">
              <w:rPr>
                <w:rFonts w:ascii="Arial" w:eastAsia="Arial" w:hAnsi="Arial" w:cs="Arial"/>
                <w:lang w:val="en-US"/>
              </w:rPr>
              <w:t>Velmahos</w:t>
            </w:r>
            <w:proofErr w:type="spellEnd"/>
            <w:r w:rsidRPr="008E5011">
              <w:rPr>
                <w:rFonts w:ascii="Arial" w:eastAsia="Arial" w:hAnsi="Arial" w:cs="Arial"/>
                <w:lang w:val="en-US"/>
              </w:rPr>
              <w:t xml:space="preserve"> G, Doucet J. Tetanus and Trauma: A Review and Recommendations. </w:t>
            </w:r>
            <w:r>
              <w:rPr>
                <w:rFonts w:ascii="Arial" w:eastAsia="Arial" w:hAnsi="Arial" w:cs="Arial"/>
              </w:rPr>
              <w:t xml:space="preserve">J Trauma </w:t>
            </w:r>
            <w:proofErr w:type="gramStart"/>
            <w:r>
              <w:rPr>
                <w:rFonts w:ascii="Arial" w:eastAsia="Arial" w:hAnsi="Arial" w:cs="Arial"/>
              </w:rPr>
              <w:t>2005;58:1082</w:t>
            </w:r>
            <w:proofErr w:type="gramEnd"/>
            <w:r>
              <w:rPr>
                <w:rFonts w:ascii="Arial" w:eastAsia="Arial" w:hAnsi="Arial" w:cs="Arial"/>
              </w:rPr>
              <w:t>–1088.</w:t>
            </w:r>
          </w:p>
          <w:p w14:paraId="5CD4187C" w14:textId="77777777" w:rsidR="006D0C28" w:rsidRDefault="006D0C28" w:rsidP="008E5011">
            <w:pPr>
              <w:spacing w:before="120" w:after="120"/>
              <w:jc w:val="both"/>
              <w:rPr>
                <w:rFonts w:ascii="Arial" w:eastAsia="Arial" w:hAnsi="Arial" w:cs="Arial"/>
                <w:b/>
              </w:rPr>
            </w:pPr>
          </w:p>
        </w:tc>
      </w:tr>
      <w:tr w:rsidR="006D0C28" w14:paraId="173845EA" w14:textId="77777777">
        <w:trPr>
          <w:trHeight w:val="1802"/>
        </w:trPr>
        <w:tc>
          <w:tcPr>
            <w:tcW w:w="1049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7F692CED" w14:textId="77777777" w:rsidR="006D0C28" w:rsidRDefault="006D0C28" w:rsidP="008E5011">
            <w:pPr>
              <w:spacing w:before="120" w:after="120"/>
              <w:jc w:val="both"/>
              <w:rPr>
                <w:rFonts w:ascii="Arial" w:eastAsia="Arial" w:hAnsi="Arial" w:cs="Arial"/>
                <w:b/>
              </w:rPr>
            </w:pPr>
          </w:p>
          <w:tbl>
            <w:tblPr>
              <w:tblStyle w:val="a2"/>
              <w:tblW w:w="93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70"/>
              <w:gridCol w:w="8540"/>
            </w:tblGrid>
            <w:tr w:rsidR="006D0C28" w14:paraId="1F8158EA" w14:textId="77777777">
              <w:trPr>
                <w:trHeight w:val="1040"/>
              </w:trPr>
              <w:tc>
                <w:tcPr>
                  <w:tcW w:w="770" w:type="dxa"/>
                  <w:tcBorders>
                    <w:top w:val="nil"/>
                    <w:left w:val="nil"/>
                    <w:bottom w:val="nil"/>
                    <w:right w:val="nil"/>
                  </w:tcBorders>
                </w:tcPr>
                <w:p w14:paraId="00ED8B8B" w14:textId="77777777" w:rsidR="006D0C28" w:rsidRDefault="006D0C28" w:rsidP="008E5011">
                  <w:pPr>
                    <w:framePr w:hSpace="180" w:vSpace="180" w:wrap="around" w:vAnchor="page" w:hAnchor="margin" w:xAlign="center" w:y="1066"/>
                    <w:spacing w:before="120" w:after="120" w:line="240" w:lineRule="auto"/>
                    <w:jc w:val="both"/>
                    <w:rPr>
                      <w:rFonts w:ascii="Arial" w:eastAsia="Arial" w:hAnsi="Arial" w:cs="Arial"/>
                      <w:b/>
                    </w:rPr>
                  </w:pPr>
                </w:p>
              </w:tc>
              <w:tc>
                <w:tcPr>
                  <w:tcW w:w="8540" w:type="dxa"/>
                  <w:tcBorders>
                    <w:top w:val="nil"/>
                    <w:left w:val="nil"/>
                    <w:bottom w:val="nil"/>
                    <w:right w:val="nil"/>
                  </w:tcBorders>
                </w:tcPr>
                <w:p w14:paraId="340F0852" w14:textId="77777777" w:rsidR="006D0C28" w:rsidRDefault="006D0C28" w:rsidP="008E5011">
                  <w:pPr>
                    <w:framePr w:hSpace="180" w:vSpace="180" w:wrap="around" w:vAnchor="page" w:hAnchor="margin" w:xAlign="center" w:y="1066"/>
                    <w:spacing w:before="120" w:after="120" w:line="240" w:lineRule="auto"/>
                    <w:jc w:val="both"/>
                    <w:rPr>
                      <w:rFonts w:ascii="Arial" w:eastAsia="Arial" w:hAnsi="Arial" w:cs="Arial"/>
                    </w:rPr>
                  </w:pPr>
                </w:p>
                <w:p w14:paraId="3FBF0DCD" w14:textId="77777777" w:rsidR="006D0C28" w:rsidRDefault="006D0C28" w:rsidP="008E5011">
                  <w:pPr>
                    <w:framePr w:hSpace="180" w:vSpace="180" w:wrap="around" w:vAnchor="page" w:hAnchor="margin" w:xAlign="center" w:y="1066"/>
                    <w:spacing w:before="120" w:after="120" w:line="240" w:lineRule="auto"/>
                    <w:ind w:left="103"/>
                    <w:jc w:val="both"/>
                    <w:rPr>
                      <w:rFonts w:ascii="Arial" w:eastAsia="Arial" w:hAnsi="Arial" w:cs="Arial"/>
                    </w:rPr>
                  </w:pPr>
                </w:p>
              </w:tc>
            </w:tr>
          </w:tbl>
          <w:p w14:paraId="403CC64D" w14:textId="77777777" w:rsidR="006D0C28" w:rsidRDefault="006D0C28" w:rsidP="008E5011">
            <w:pPr>
              <w:spacing w:before="120" w:after="120"/>
              <w:jc w:val="both"/>
              <w:rPr>
                <w:rFonts w:ascii="Arial" w:eastAsia="Arial" w:hAnsi="Arial" w:cs="Arial"/>
                <w:b/>
              </w:rPr>
            </w:pPr>
          </w:p>
          <w:p w14:paraId="769041C6" w14:textId="77777777" w:rsidR="006D0C28" w:rsidRDefault="006D0C28" w:rsidP="008E5011">
            <w:pPr>
              <w:spacing w:before="120" w:after="120"/>
              <w:ind w:left="103"/>
              <w:jc w:val="both"/>
              <w:rPr>
                <w:rFonts w:ascii="Arial" w:eastAsia="Arial" w:hAnsi="Arial" w:cs="Arial"/>
                <w:b/>
              </w:rPr>
            </w:pPr>
          </w:p>
        </w:tc>
      </w:tr>
    </w:tbl>
    <w:p w14:paraId="64DED495" w14:textId="77777777" w:rsidR="006D0C28" w:rsidRDefault="006D0C28" w:rsidP="008E5011">
      <w:pPr>
        <w:spacing w:after="0"/>
        <w:jc w:val="both"/>
      </w:pPr>
    </w:p>
    <w:p w14:paraId="538E4945" w14:textId="77777777" w:rsidR="006D0C28" w:rsidRDefault="006D0C28" w:rsidP="008E5011">
      <w:pPr>
        <w:spacing w:before="120" w:after="120"/>
        <w:jc w:val="both"/>
      </w:pPr>
      <w:bookmarkStart w:id="0" w:name="_heading=h.gs64qym7tuqk" w:colFirst="0" w:colLast="0"/>
      <w:bookmarkEnd w:id="0"/>
    </w:p>
    <w:sectPr w:rsidR="006D0C28">
      <w:headerReference w:type="default" r:id="rId11"/>
      <w:pgSz w:w="11899" w:h="1685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3DBC" w14:textId="77777777" w:rsidR="0024380B" w:rsidRDefault="0024380B">
      <w:pPr>
        <w:spacing w:after="0" w:line="240" w:lineRule="auto"/>
      </w:pPr>
      <w:r>
        <w:separator/>
      </w:r>
    </w:p>
  </w:endnote>
  <w:endnote w:type="continuationSeparator" w:id="0">
    <w:p w14:paraId="34AEFC13" w14:textId="77777777" w:rsidR="0024380B" w:rsidRDefault="0024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C31C" w14:textId="77777777" w:rsidR="0024380B" w:rsidRDefault="0024380B">
      <w:pPr>
        <w:spacing w:after="0" w:line="240" w:lineRule="auto"/>
      </w:pPr>
      <w:r>
        <w:separator/>
      </w:r>
    </w:p>
  </w:footnote>
  <w:footnote w:type="continuationSeparator" w:id="0">
    <w:p w14:paraId="5B237D84" w14:textId="77777777" w:rsidR="0024380B" w:rsidRDefault="00243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78C1" w14:textId="77777777" w:rsidR="006D0C28" w:rsidRDefault="006D0C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65011"/>
    <w:multiLevelType w:val="multilevel"/>
    <w:tmpl w:val="B3A8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B33F4F"/>
    <w:multiLevelType w:val="multilevel"/>
    <w:tmpl w:val="E8801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E807F4"/>
    <w:multiLevelType w:val="multilevel"/>
    <w:tmpl w:val="81FAE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28109DC"/>
    <w:multiLevelType w:val="multilevel"/>
    <w:tmpl w:val="FD58B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907715"/>
    <w:multiLevelType w:val="multilevel"/>
    <w:tmpl w:val="7798843E"/>
    <w:lvl w:ilvl="0">
      <w:start w:val="1"/>
      <w:numFmt w:val="decimal"/>
      <w:lvlText w:val="%1."/>
      <w:lvlJc w:val="right"/>
      <w:pPr>
        <w:ind w:left="720" w:hanging="360"/>
      </w:pPr>
      <w:rPr>
        <w:u w:val="none"/>
      </w:rPr>
    </w:lvl>
    <w:lvl w:ilvl="1">
      <w:start w:val="1"/>
      <w:numFmt w:val="decimal"/>
      <w:lvlText w:val="%1.%2."/>
      <w:lvlJc w:val="right"/>
      <w:pPr>
        <w:ind w:left="992" w:firstLine="0"/>
      </w:pPr>
      <w:rPr>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8DA1220"/>
    <w:multiLevelType w:val="multilevel"/>
    <w:tmpl w:val="38102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0632AF"/>
    <w:multiLevelType w:val="multilevel"/>
    <w:tmpl w:val="23B43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725204">
    <w:abstractNumId w:val="2"/>
  </w:num>
  <w:num w:numId="2" w16cid:durableId="437873335">
    <w:abstractNumId w:val="4"/>
  </w:num>
  <w:num w:numId="3" w16cid:durableId="1898855116">
    <w:abstractNumId w:val="0"/>
  </w:num>
  <w:num w:numId="4" w16cid:durableId="821119587">
    <w:abstractNumId w:val="5"/>
  </w:num>
  <w:num w:numId="5" w16cid:durableId="2027907089">
    <w:abstractNumId w:val="6"/>
  </w:num>
  <w:num w:numId="6" w16cid:durableId="1066878834">
    <w:abstractNumId w:val="3"/>
  </w:num>
  <w:num w:numId="7" w16cid:durableId="1764762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C28"/>
    <w:rsid w:val="00082E16"/>
    <w:rsid w:val="000A30E8"/>
    <w:rsid w:val="001B4E7C"/>
    <w:rsid w:val="0024380B"/>
    <w:rsid w:val="005614DA"/>
    <w:rsid w:val="006D0C28"/>
    <w:rsid w:val="008E5011"/>
    <w:rsid w:val="00F57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37E3"/>
  <w15:docId w15:val="{F67EBB4C-E224-4593-8E70-7415CD7E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4"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8754C"/>
    <w:pPr>
      <w:ind w:left="720"/>
      <w:contextualSpacing/>
    </w:pPr>
  </w:style>
  <w:style w:type="table" w:customStyle="1" w:styleId="a1">
    <w:basedOn w:val="TableNormal1"/>
    <w:pPr>
      <w:spacing w:after="0" w:line="240" w:lineRule="auto"/>
    </w:pPr>
    <w:tblPr>
      <w:tblStyleRowBandSize w:val="1"/>
      <w:tblStyleColBandSize w:val="1"/>
      <w:tblCellMar>
        <w:left w:w="4"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nitia.secot.es/web/manual_residente/CAPITULO%2047.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n8tmyvFSZEGbSepMCwVH5CtoQ==">CgMxLjAyDmguZ3M2NHF5bTd0dXFrOAByITF5akc5TVR1UGlXY0lKTXdjOHlaY1I4djdVSzBfWXBVeQ==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1431</Words>
  <Characters>7873</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Chico Fernandez.Mario</dc:creator>
  <cp:lastModifiedBy>Adrian Marcos</cp:lastModifiedBy>
  <cp:revision>3</cp:revision>
  <dcterms:created xsi:type="dcterms:W3CDTF">2025-06-21T21:58:00Z</dcterms:created>
  <dcterms:modified xsi:type="dcterms:W3CDTF">2025-06-24T10:31:00Z</dcterms:modified>
</cp:coreProperties>
</file>