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C672" w14:textId="77777777" w:rsidR="00227F53" w:rsidRDefault="00227F53">
      <w:pPr>
        <w:widowControl w:val="0"/>
        <w:spacing w:before="567"/>
        <w:contextualSpacing w:val="0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"/>
        <w:tblW w:w="963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0"/>
        <w:gridCol w:w="4260"/>
        <w:gridCol w:w="2190"/>
      </w:tblGrid>
      <w:tr w:rsidR="00227F53" w14:paraId="016B549F" w14:textId="77777777">
        <w:tc>
          <w:tcPr>
            <w:tcW w:w="3180" w:type="dxa"/>
            <w:vMerge w:val="restart"/>
            <w:shd w:val="clear" w:color="auto" w:fill="FFFFFF"/>
            <w:vAlign w:val="center"/>
          </w:tcPr>
          <w:p w14:paraId="5814C4AD" w14:textId="77777777" w:rsidR="00227F53" w:rsidRDefault="006B1A45">
            <w:pPr>
              <w:widowControl w:val="0"/>
              <w:tabs>
                <w:tab w:val="center" w:pos="4252"/>
                <w:tab w:val="right" w:pos="8504"/>
              </w:tabs>
              <w:spacing w:before="567"/>
              <w:contextualSpacing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noProof/>
                <w:sz w:val="24"/>
                <w:szCs w:val="24"/>
                <w:lang w:val="es-ES"/>
              </w:rPr>
              <w:drawing>
                <wp:inline distT="114300" distB="114300" distL="114300" distR="114300" wp14:anchorId="16121798" wp14:editId="4F1FD120">
                  <wp:extent cx="1971675" cy="736283"/>
                  <wp:effectExtent l="0" t="0" r="0" b="0"/>
                  <wp:docPr id="1" name="image1.jpg" descr="12_de_octubre jp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12_de_octubre jpg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362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CA02B5" w14:textId="77777777" w:rsidR="00227F53" w:rsidRDefault="006B1A45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UCI DE TRAUMA Y EMERGENCIAS</w:t>
            </w:r>
          </w:p>
          <w:p w14:paraId="73D695C5" w14:textId="77777777" w:rsidR="00227F53" w:rsidRDefault="00227F53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0" w:type="dxa"/>
            <w:vMerge w:val="restart"/>
            <w:shd w:val="clear" w:color="auto" w:fill="CFE2F3"/>
            <w:vAlign w:val="center"/>
          </w:tcPr>
          <w:p w14:paraId="0A3C935E" w14:textId="77777777" w:rsidR="00227F53" w:rsidRDefault="00227F53">
            <w:pPr>
              <w:widowControl w:val="0"/>
              <w:tabs>
                <w:tab w:val="center" w:pos="4252"/>
                <w:tab w:val="right" w:pos="8504"/>
              </w:tabs>
              <w:spacing w:before="120" w:line="240" w:lineRule="auto"/>
              <w:contextualSpacing w:val="0"/>
              <w:jc w:val="center"/>
              <w:rPr>
                <w:color w:val="0000FF"/>
              </w:rPr>
            </w:pPr>
          </w:p>
          <w:p w14:paraId="45D040EE" w14:textId="6D6F4FCA" w:rsidR="00227F53" w:rsidRDefault="00D649BB" w:rsidP="00132EFB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PROTOCOLO PRUEBAS</w:t>
            </w:r>
            <w:r w:rsidR="00132EFB">
              <w:rPr>
                <w:b/>
                <w:sz w:val="24"/>
                <w:szCs w:val="24"/>
              </w:rPr>
              <w:t xml:space="preserve"> RADIOLÓGICAS EN EL BAI DURANTE LA ATENCIÓN DE PACIENTES CON TRAUMA GRAVE</w:t>
            </w:r>
          </w:p>
        </w:tc>
        <w:tc>
          <w:tcPr>
            <w:tcW w:w="2190" w:type="dxa"/>
            <w:shd w:val="clear" w:color="auto" w:fill="CFE2F3"/>
          </w:tcPr>
          <w:p w14:paraId="6157D3F5" w14:textId="77777777" w:rsidR="00227F53" w:rsidRDefault="006B1A45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</w:tr>
      <w:tr w:rsidR="00227F53" w14:paraId="3FD2D712" w14:textId="77777777">
        <w:trPr>
          <w:trHeight w:val="440"/>
        </w:trPr>
        <w:tc>
          <w:tcPr>
            <w:tcW w:w="3180" w:type="dxa"/>
            <w:vMerge/>
            <w:shd w:val="clear" w:color="auto" w:fill="FFFFFF"/>
            <w:vAlign w:val="center"/>
          </w:tcPr>
          <w:p w14:paraId="0D99F97C" w14:textId="77777777" w:rsidR="00227F53" w:rsidRDefault="00227F5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260" w:type="dxa"/>
            <w:vMerge/>
            <w:shd w:val="clear" w:color="auto" w:fill="CFE2F3"/>
            <w:vAlign w:val="center"/>
          </w:tcPr>
          <w:p w14:paraId="6704B37B" w14:textId="77777777" w:rsidR="00227F53" w:rsidRDefault="00227F5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14:paraId="3A666C2F" w14:textId="77777777" w:rsidR="00227F53" w:rsidRDefault="00227F53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  <w:p w14:paraId="065117DA" w14:textId="77777777" w:rsidR="00227F53" w:rsidRDefault="006B1A45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publicación:</w:t>
            </w:r>
          </w:p>
          <w:p w14:paraId="322219D5" w14:textId="59422E8F" w:rsidR="0016161A" w:rsidRDefault="00397C9D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Abril 2025</w:t>
            </w:r>
          </w:p>
          <w:p w14:paraId="5B010FFF" w14:textId="77777777" w:rsidR="00397C9D" w:rsidRDefault="00397C9D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  <w:p w14:paraId="6145C7A2" w14:textId="77777777" w:rsidR="00227F53" w:rsidRDefault="006B1A45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prevista actualización:</w:t>
            </w:r>
          </w:p>
          <w:p w14:paraId="5B59A5F5" w14:textId="77777777" w:rsidR="00227F53" w:rsidRDefault="00227F53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  <w:p w14:paraId="19408C69" w14:textId="61E5A6AD" w:rsidR="00227F53" w:rsidRDefault="006B1A45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Autores: </w:t>
            </w:r>
            <w:r w:rsidR="00397C9D">
              <w:rPr>
                <w:b/>
                <w:sz w:val="18"/>
                <w:szCs w:val="18"/>
              </w:rPr>
              <w:t>Lidia Orejón García</w:t>
            </w:r>
          </w:p>
          <w:p w14:paraId="1E474A0E" w14:textId="77777777" w:rsidR="00227F53" w:rsidRDefault="00227F53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  <w:p w14:paraId="2FF0B169" w14:textId="77777777" w:rsidR="00227F53" w:rsidRDefault="00227F53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b/>
                <w:sz w:val="18"/>
                <w:szCs w:val="18"/>
              </w:rPr>
            </w:pPr>
          </w:p>
        </w:tc>
      </w:tr>
      <w:tr w:rsidR="00227F53" w14:paraId="746D3ED5" w14:textId="77777777">
        <w:trPr>
          <w:trHeight w:val="300"/>
        </w:trPr>
        <w:tc>
          <w:tcPr>
            <w:tcW w:w="3180" w:type="dxa"/>
            <w:vMerge/>
            <w:shd w:val="clear" w:color="auto" w:fill="FFFFFF"/>
            <w:vAlign w:val="center"/>
          </w:tcPr>
          <w:p w14:paraId="1691A3C9" w14:textId="77777777" w:rsidR="00227F53" w:rsidRDefault="00227F5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260" w:type="dxa"/>
            <w:vMerge/>
            <w:shd w:val="clear" w:color="auto" w:fill="CFE2F3"/>
            <w:vAlign w:val="center"/>
          </w:tcPr>
          <w:p w14:paraId="6C450C1E" w14:textId="77777777" w:rsidR="00227F53" w:rsidRDefault="00227F53">
            <w:pPr>
              <w:widowControl w:val="0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CFE2F3"/>
            <w:vAlign w:val="center"/>
          </w:tcPr>
          <w:p w14:paraId="2FEEBA49" w14:textId="77777777" w:rsidR="00227F53" w:rsidRDefault="006B1A45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Hoja 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b/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>NUMPAGES</w:instrTex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1E107A0D" w14:textId="77777777" w:rsidR="00227F53" w:rsidRDefault="00227F53">
      <w:pPr>
        <w:contextualSpacing w:val="0"/>
      </w:pPr>
    </w:p>
    <w:p w14:paraId="7927042F" w14:textId="77777777" w:rsidR="00227F53" w:rsidRDefault="00227F53">
      <w:pPr>
        <w:contextualSpacing w:val="0"/>
      </w:pPr>
    </w:p>
    <w:tbl>
      <w:tblPr>
        <w:tblStyle w:val="a0"/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5"/>
      </w:tblGrid>
      <w:tr w:rsidR="00227F53" w14:paraId="53BA4292" w14:textId="77777777">
        <w:tc>
          <w:tcPr>
            <w:tcW w:w="9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981" w14:textId="77777777" w:rsidR="00227F53" w:rsidRDefault="006B1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OBJETIVOS</w:t>
            </w:r>
          </w:p>
        </w:tc>
      </w:tr>
      <w:tr w:rsidR="00227F53" w14:paraId="0FD2E01A" w14:textId="77777777"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7EE5" w14:textId="77777777" w:rsidR="00227F53" w:rsidRDefault="00397C9D" w:rsidP="00EF1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Proporcionar recomendaciones sobre las pruebas radiológicas necesarias durante la atención de pacientes con trauma grave en el box de atención inicial (BAI) </w:t>
            </w:r>
          </w:p>
          <w:p w14:paraId="0A30C36A" w14:textId="77777777" w:rsidR="00132EFB" w:rsidRDefault="00132EFB" w:rsidP="00132EFB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3B037CAE" w14:textId="43EF3619" w:rsidR="00132EFB" w:rsidRDefault="00132EFB" w:rsidP="00EF1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Protocolizar las técnicas de imagen empleadas en estos pacientes</w:t>
            </w:r>
          </w:p>
        </w:tc>
      </w:tr>
      <w:tr w:rsidR="00227F53" w14:paraId="2473F37E" w14:textId="77777777">
        <w:tc>
          <w:tcPr>
            <w:tcW w:w="9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0476" w14:textId="77777777" w:rsidR="00227F53" w:rsidRDefault="006B1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CRITERIOS DE INCLUSIÓN Y EXCLUSIÓN (quién)</w:t>
            </w:r>
          </w:p>
        </w:tc>
      </w:tr>
      <w:tr w:rsidR="00227F53" w14:paraId="6967ADB6" w14:textId="77777777"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72EC" w14:textId="0D247AF0" w:rsidR="00227F53" w:rsidRPr="00EF17A2" w:rsidRDefault="00397C9D" w:rsidP="00EF17A2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contextualSpacing w:val="0"/>
              <w:rPr>
                <w:bCs/>
              </w:rPr>
            </w:pPr>
            <w:r w:rsidRPr="00132EFB">
              <w:rPr>
                <w:bCs/>
              </w:rPr>
              <w:t>Todo paciente con trauma grave</w:t>
            </w:r>
            <w:r w:rsidR="00132EFB" w:rsidRPr="00132EFB">
              <w:rPr>
                <w:bCs/>
              </w:rPr>
              <w:t xml:space="preserve"> </w:t>
            </w:r>
            <w:r w:rsidR="00EF17A2">
              <w:rPr>
                <w:bCs/>
              </w:rPr>
              <w:t xml:space="preserve">mayor de 18 años </w:t>
            </w:r>
            <w:r w:rsidR="00132EFB" w:rsidRPr="00132EFB">
              <w:rPr>
                <w:bCs/>
              </w:rPr>
              <w:t>(pacie</w:t>
            </w:r>
            <w:r w:rsidR="00ED4EBF">
              <w:rPr>
                <w:bCs/>
              </w:rPr>
              <w:t>nt</w:t>
            </w:r>
            <w:r w:rsidR="00132EFB" w:rsidRPr="00132EFB">
              <w:rPr>
                <w:bCs/>
              </w:rPr>
              <w:t xml:space="preserve">e que </w:t>
            </w:r>
            <w:r w:rsidR="00132EFB" w:rsidRPr="00132EFB">
              <w:t xml:space="preserve">presenta lesiones traumáticas en diferentes órganos o sistemas, con repercusión sistémica y potencialmente mortales).  </w:t>
            </w:r>
            <w:r w:rsidRPr="00132EFB">
              <w:rPr>
                <w:bCs/>
              </w:rPr>
              <w:t>No existen criterios de exclusión</w:t>
            </w:r>
            <w:r w:rsidR="00EF17A2">
              <w:rPr>
                <w:bCs/>
              </w:rPr>
              <w:t>.</w:t>
            </w:r>
          </w:p>
        </w:tc>
      </w:tr>
      <w:tr w:rsidR="00227F53" w14:paraId="4EB7F294" w14:textId="77777777">
        <w:tc>
          <w:tcPr>
            <w:tcW w:w="9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0120" w14:textId="77777777" w:rsidR="00227F53" w:rsidRDefault="006B1A45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JUSTIFICACIÓN (por qué)</w:t>
            </w:r>
          </w:p>
        </w:tc>
      </w:tr>
      <w:tr w:rsidR="00227F53" w14:paraId="67EC4685" w14:textId="77777777"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ED6" w14:textId="02767F0D" w:rsidR="00227F53" w:rsidRPr="00D649BB" w:rsidRDefault="00ED4EBF">
            <w:pPr>
              <w:widowControl w:val="0"/>
              <w:spacing w:line="240" w:lineRule="auto"/>
              <w:contextualSpacing w:val="0"/>
              <w:rPr>
                <w:bCs/>
              </w:rPr>
            </w:pPr>
            <w:r w:rsidRPr="00ED4EBF">
              <w:rPr>
                <w:bCs/>
              </w:rPr>
              <w:t xml:space="preserve">La exploración física y la anamnesis de los pacientes con trauma grave proporcionan baja rentabilidad diagnóstica por lo que las pruebas radiológicas son parte fundamental del manejo </w:t>
            </w:r>
            <w:r w:rsidR="00D649BB">
              <w:rPr>
                <w:bCs/>
              </w:rPr>
              <w:t>inicial, con especial relevancia en las últimas décadas de la tomografía computarizada (TC), dado su fácil acceso, rapidez y</w:t>
            </w:r>
            <w:r w:rsidR="00A8332D">
              <w:rPr>
                <w:bCs/>
              </w:rPr>
              <w:t xml:space="preserve"> alta precisión diagnóstica</w:t>
            </w:r>
            <w:r w:rsidR="00D649BB">
              <w:rPr>
                <w:bCs/>
              </w:rPr>
              <w:t xml:space="preserve">. </w:t>
            </w:r>
            <w:r w:rsidRPr="00ED4EBF">
              <w:rPr>
                <w:bCs/>
              </w:rPr>
              <w:t>Al ser una enfermedad tiempo dependiente e</w:t>
            </w:r>
            <w:r w:rsidR="008631AB" w:rsidRPr="00ED4EBF">
              <w:rPr>
                <w:bCs/>
              </w:rPr>
              <w:t>s necesario disponer de protocolos de imagen bien establecidos que permitan realizar las</w:t>
            </w:r>
            <w:r w:rsidR="00132EFB" w:rsidRPr="00ED4EBF">
              <w:rPr>
                <w:bCs/>
              </w:rPr>
              <w:t xml:space="preserve"> </w:t>
            </w:r>
            <w:r w:rsidR="008631AB" w:rsidRPr="00ED4EBF">
              <w:rPr>
                <w:bCs/>
              </w:rPr>
              <w:t>pruebas de imagen de forma rápida y con interpretación</w:t>
            </w:r>
            <w:r w:rsidR="00132EFB" w:rsidRPr="00ED4EBF">
              <w:rPr>
                <w:bCs/>
              </w:rPr>
              <w:t xml:space="preserve"> </w:t>
            </w:r>
            <w:r w:rsidR="008631AB" w:rsidRPr="00ED4EBF">
              <w:rPr>
                <w:bCs/>
              </w:rPr>
              <w:t xml:space="preserve">precisa. </w:t>
            </w:r>
          </w:p>
        </w:tc>
      </w:tr>
      <w:tr w:rsidR="00227F53" w14:paraId="17CAD7F6" w14:textId="77777777">
        <w:tc>
          <w:tcPr>
            <w:tcW w:w="9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430A" w14:textId="77777777" w:rsidR="00227F53" w:rsidRDefault="006B1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DESARROLLO (qué y cómo)</w:t>
            </w:r>
          </w:p>
        </w:tc>
      </w:tr>
      <w:tr w:rsidR="00227F53" w14:paraId="48A54086" w14:textId="77777777"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7F43" w14:textId="667A9378" w:rsidR="009D2681" w:rsidRDefault="009D2681" w:rsidP="005461B3">
            <w:r>
              <w:t xml:space="preserve">Las pruebas radiológicas que forman parte de la atención inicial son: </w:t>
            </w:r>
          </w:p>
          <w:p w14:paraId="5DB78195" w14:textId="77777777" w:rsidR="009D2681" w:rsidRDefault="009D2681" w:rsidP="005461B3"/>
          <w:p w14:paraId="1572CECC" w14:textId="69BEF485" w:rsidR="005461B3" w:rsidRPr="009D2681" w:rsidRDefault="00A8332D" w:rsidP="009D2681">
            <w:pPr>
              <w:pStyle w:val="Prrafodelista"/>
              <w:numPr>
                <w:ilvl w:val="0"/>
                <w:numId w:val="15"/>
              </w:numPr>
            </w:pPr>
            <w:r>
              <w:t xml:space="preserve">La </w:t>
            </w:r>
            <w:r w:rsidRPr="009D2681">
              <w:rPr>
                <w:b/>
                <w:bCs/>
              </w:rPr>
              <w:t xml:space="preserve">radiografía de </w:t>
            </w:r>
            <w:r w:rsidR="009D2681" w:rsidRPr="009D2681">
              <w:rPr>
                <w:b/>
                <w:bCs/>
              </w:rPr>
              <w:t>tórax</w:t>
            </w:r>
            <w:r w:rsidRPr="009D2681">
              <w:rPr>
                <w:b/>
                <w:bCs/>
              </w:rPr>
              <w:t xml:space="preserve"> AP</w:t>
            </w:r>
            <w:r w:rsidRPr="009D2681">
              <w:t xml:space="preserve"> aporta información esencial sobre lesiones que pueden comprometer la</w:t>
            </w:r>
            <w:r w:rsidR="009D2681" w:rsidRPr="009D2681">
              <w:t xml:space="preserve"> </w:t>
            </w:r>
            <w:r w:rsidRPr="009D2681">
              <w:t>vida como el neumotórax o hemotórax a tensión, hematoma</w:t>
            </w:r>
            <w:r w:rsidR="009D2681" w:rsidRPr="009D2681">
              <w:t xml:space="preserve"> </w:t>
            </w:r>
            <w:r w:rsidRPr="009D2681">
              <w:t>mediastínico o rotura diafragmática, además de informar</w:t>
            </w:r>
            <w:r w:rsidR="009D2681">
              <w:t xml:space="preserve"> </w:t>
            </w:r>
            <w:r w:rsidRPr="009D2681">
              <w:t>sobre la colocación de tubos y vías.</w:t>
            </w:r>
          </w:p>
          <w:p w14:paraId="4D6F76F1" w14:textId="4832CC19" w:rsidR="009D2681" w:rsidRDefault="009D2681" w:rsidP="005461B3">
            <w:pPr>
              <w:rPr>
                <w:sz w:val="18"/>
                <w:szCs w:val="18"/>
              </w:rPr>
            </w:pPr>
          </w:p>
          <w:p w14:paraId="5FCCBF09" w14:textId="5BC3116F" w:rsidR="009D2681" w:rsidRDefault="009D2681" w:rsidP="009D2681">
            <w:pPr>
              <w:pStyle w:val="Prrafodelista"/>
              <w:numPr>
                <w:ilvl w:val="0"/>
                <w:numId w:val="15"/>
              </w:numPr>
            </w:pPr>
            <w:r w:rsidRPr="009D2681">
              <w:t>La</w:t>
            </w:r>
            <w:r w:rsidRPr="009D2681">
              <w:rPr>
                <w:sz w:val="18"/>
                <w:szCs w:val="18"/>
              </w:rPr>
              <w:t xml:space="preserve"> </w:t>
            </w:r>
            <w:r w:rsidRPr="009D2681">
              <w:rPr>
                <w:b/>
                <w:bCs/>
              </w:rPr>
              <w:t>radiografía de pelvis</w:t>
            </w:r>
            <w:r>
              <w:t xml:space="preserve"> AP</w:t>
            </w:r>
            <w:r w:rsidRPr="009D2681">
              <w:t xml:space="preserve"> aporta información sobre la lesión del anillo pélvico,</w:t>
            </w:r>
            <w:r>
              <w:t xml:space="preserve"> </w:t>
            </w:r>
            <w:r w:rsidRPr="009D2681">
              <w:t>indicador de traumatismo grave, frecuentemente asociado a otras lesiones importantes y a shock hemorrágico</w:t>
            </w:r>
            <w:r>
              <w:t xml:space="preserve">. </w:t>
            </w:r>
            <w:r w:rsidR="00EF17A2" w:rsidRPr="00EF17A2">
              <w:t xml:space="preserve">Aunque la radiografía de pelvis ha formado parte tradicionalmente del protocolo ATLS, </w:t>
            </w:r>
            <w:proofErr w:type="gramStart"/>
            <w:r w:rsidR="00EF17A2" w:rsidRPr="00EF17A2">
              <w:t xml:space="preserve">actualmente </w:t>
            </w:r>
            <w:r w:rsidR="003136B8">
              <w:t xml:space="preserve"> en</w:t>
            </w:r>
            <w:proofErr w:type="gramEnd"/>
            <w:r w:rsidR="003136B8">
              <w:t xml:space="preserve"> nuestro contexto </w:t>
            </w:r>
            <w:r w:rsidR="00EF17A2" w:rsidRPr="00EF17A2">
              <w:t>solo está indicada en los pacientes inestables cuyo grado de inestabilidad hemodinámica impida la realización de una TC</w:t>
            </w:r>
            <w:r w:rsidR="00EF17A2">
              <w:rPr>
                <w:sz w:val="18"/>
                <w:szCs w:val="18"/>
              </w:rPr>
              <w:t>.</w:t>
            </w:r>
          </w:p>
          <w:p w14:paraId="09670F7F" w14:textId="35F922B5" w:rsidR="009D2681" w:rsidRDefault="009D2681" w:rsidP="005461B3"/>
          <w:p w14:paraId="10EEF91B" w14:textId="3E6E6934" w:rsidR="009D2681" w:rsidRPr="00EF17A2" w:rsidRDefault="009D2681" w:rsidP="00B132D0">
            <w:pPr>
              <w:pStyle w:val="Prrafodelista"/>
              <w:numPr>
                <w:ilvl w:val="0"/>
                <w:numId w:val="15"/>
              </w:numPr>
            </w:pPr>
            <w:r w:rsidRPr="009D2681">
              <w:lastRenderedPageBreak/>
              <w:t xml:space="preserve">La </w:t>
            </w:r>
            <w:r w:rsidRPr="009D2681">
              <w:rPr>
                <w:b/>
                <w:bCs/>
              </w:rPr>
              <w:t>ecografía (</w:t>
            </w:r>
            <w:proofErr w:type="spellStart"/>
            <w:r w:rsidRPr="009D2681">
              <w:rPr>
                <w:b/>
                <w:bCs/>
              </w:rPr>
              <w:t>fast</w:t>
            </w:r>
            <w:proofErr w:type="spellEnd"/>
            <w:r w:rsidRPr="009D2681">
              <w:rPr>
                <w:b/>
                <w:bCs/>
              </w:rPr>
              <w:t xml:space="preserve"> y e-</w:t>
            </w:r>
            <w:proofErr w:type="spellStart"/>
            <w:r w:rsidRPr="009D2681">
              <w:rPr>
                <w:b/>
                <w:bCs/>
              </w:rPr>
              <w:t>fast</w:t>
            </w:r>
            <w:proofErr w:type="spellEnd"/>
            <w:r w:rsidRPr="009D2681">
              <w:rPr>
                <w:b/>
                <w:bCs/>
              </w:rPr>
              <w:t xml:space="preserve">), </w:t>
            </w:r>
            <w:r w:rsidRPr="009D2681">
              <w:t>es la</w:t>
            </w:r>
            <w:r w:rsidRPr="009D2681">
              <w:rPr>
                <w:b/>
                <w:bCs/>
              </w:rPr>
              <w:t xml:space="preserve"> </w:t>
            </w:r>
            <w:r w:rsidRPr="009D2681">
              <w:t xml:space="preserve">ecografía dirigida al traumatismo. Es FAST cuando se aplica al abdomen y </w:t>
            </w:r>
            <w:r w:rsidRPr="009D2681">
              <w:rPr>
                <w:i/>
                <w:iCs/>
              </w:rPr>
              <w:t>extended-FAST</w:t>
            </w:r>
            <w:r w:rsidRPr="009D2681">
              <w:t xml:space="preserve">(e-FAST) cuando se extiende al tórax.  </w:t>
            </w:r>
            <w:r w:rsidR="0044631F">
              <w:t xml:space="preserve">Es una exploración </w:t>
            </w:r>
            <w:proofErr w:type="spellStart"/>
            <w:r w:rsidR="0044631F">
              <w:t>rapida</w:t>
            </w:r>
            <w:proofErr w:type="spellEnd"/>
            <w:r w:rsidR="0044631F">
              <w:t xml:space="preserve">, sencilla y reproducible que realizará el médico de la atención inicial con el ecógrafo de la unidad. </w:t>
            </w:r>
            <w:r w:rsidRPr="009D2681">
              <w:t xml:space="preserve">Su objetivo es identificar líquido libre intraperitoneal y en las cavidades pleural y pericárdica, que en el contexto del traumatismo agudo se interpreta como hemoperitoneo, hemotórax y </w:t>
            </w:r>
            <w:proofErr w:type="spellStart"/>
            <w:r w:rsidRPr="009D2681">
              <w:t>hemopericardio</w:t>
            </w:r>
            <w:proofErr w:type="spellEnd"/>
            <w:r w:rsidRPr="009D2681">
              <w:t xml:space="preserve"> respectivamente. Técnicamente, la cavidad abdominal se explora con una sonda </w:t>
            </w:r>
            <w:proofErr w:type="spellStart"/>
            <w:r w:rsidRPr="009D2681">
              <w:t>cónvex</w:t>
            </w:r>
            <w:proofErr w:type="spellEnd"/>
            <w:r w:rsidRPr="009D2681">
              <w:t xml:space="preserve"> con 4 abordajes: </w:t>
            </w:r>
            <w:proofErr w:type="spellStart"/>
            <w:r w:rsidRPr="009D2681">
              <w:t>subxifoideo</w:t>
            </w:r>
            <w:proofErr w:type="spellEnd"/>
            <w:r w:rsidRPr="009D2681">
              <w:t xml:space="preserve"> para el estudio del </w:t>
            </w:r>
            <w:proofErr w:type="spellStart"/>
            <w:r w:rsidRPr="009D2681">
              <w:t>hemopericardio</w:t>
            </w:r>
            <w:proofErr w:type="spellEnd"/>
            <w:r w:rsidRPr="009D2681">
              <w:t xml:space="preserve">, cuadrante superior </w:t>
            </w:r>
            <w:proofErr w:type="spellStart"/>
            <w:proofErr w:type="gramStart"/>
            <w:r w:rsidRPr="009D2681">
              <w:t>derecho,cuadrante</w:t>
            </w:r>
            <w:proofErr w:type="spellEnd"/>
            <w:proofErr w:type="gramEnd"/>
            <w:r w:rsidRPr="009D2681">
              <w:t xml:space="preserve"> superior izquierdo y pelvis para la detección de hemoperitoneo («regla de las 4 P»: pericardio, </w:t>
            </w:r>
            <w:proofErr w:type="spellStart"/>
            <w:r w:rsidRPr="009D2681">
              <w:t>perihepático,periesplénico</w:t>
            </w:r>
            <w:proofErr w:type="spellEnd"/>
            <w:r w:rsidRPr="009D2681">
              <w:t xml:space="preserve"> y pelvis)</w:t>
            </w:r>
            <w:r w:rsidR="0044631F">
              <w:t xml:space="preserve"> (Figura 1). </w:t>
            </w:r>
            <w:r w:rsidR="00F23EC0">
              <w:t xml:space="preserve"> </w:t>
            </w:r>
            <w:r w:rsidRPr="009D2681">
              <w:t xml:space="preserve">El hemotórax se valora también con una sonda </w:t>
            </w:r>
            <w:proofErr w:type="spellStart"/>
            <w:r w:rsidRPr="009D2681">
              <w:t>cónvex</w:t>
            </w:r>
            <w:proofErr w:type="spellEnd"/>
            <w:r w:rsidRPr="009D2681">
              <w:t xml:space="preserve"> de baja frecuencia explorando los senos costofrénicos, mientras que para la valoración del neumotórax se prefieren transductores lineales de alta </w:t>
            </w:r>
            <w:proofErr w:type="gramStart"/>
            <w:r w:rsidRPr="009D2681">
              <w:t>frecuencia  con</w:t>
            </w:r>
            <w:proofErr w:type="gramEnd"/>
            <w:r w:rsidRPr="009D2681">
              <w:t xml:space="preserve"> abordaje entre el segundo y cuarto espacios intercostales en la línea </w:t>
            </w:r>
            <w:proofErr w:type="spellStart"/>
            <w:r w:rsidRPr="009D2681">
              <w:t>medioclavicular</w:t>
            </w:r>
            <w:proofErr w:type="spellEnd"/>
            <w:r w:rsidRPr="009D2681">
              <w:rPr>
                <w:color w:val="0080AC"/>
              </w:rPr>
              <w:t>.</w:t>
            </w:r>
            <w:r w:rsidR="00EF17A2">
              <w:rPr>
                <w:color w:val="0080AC"/>
              </w:rPr>
              <w:t xml:space="preserve"> </w:t>
            </w:r>
            <w:r w:rsidR="00EF17A2" w:rsidRPr="00EF17A2">
              <w:t>Está indicada en pacientes con inestabilidad hemodinámica para detectar situaciones que requieran tratamiento inmediato como neumotórax o hemotórax a tensión, taponamiento pericárdico o hemoperitoneo masivo</w:t>
            </w:r>
          </w:p>
          <w:p w14:paraId="20278985" w14:textId="0C9236DE" w:rsidR="009D2681" w:rsidRDefault="0044631F" w:rsidP="003136B8">
            <w:r w:rsidRPr="0044631F">
              <w:rPr>
                <w:noProof/>
              </w:rPr>
              <w:drawing>
                <wp:inline distT="0" distB="0" distL="0" distR="0" wp14:anchorId="604F95E6" wp14:editId="68367BAF">
                  <wp:extent cx="6016625" cy="3493135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6625" cy="349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E6557" w14:textId="5A493453" w:rsidR="0044631F" w:rsidRDefault="0044631F" w:rsidP="003136B8">
            <w:r>
              <w:t xml:space="preserve">            Figura 1.  Ventanas de exploración ecografía FAST </w:t>
            </w:r>
          </w:p>
          <w:p w14:paraId="70F8336E" w14:textId="77777777" w:rsidR="0044631F" w:rsidRDefault="0044631F" w:rsidP="003136B8"/>
          <w:p w14:paraId="53B7F982" w14:textId="0EF9BB28" w:rsidR="009F37FE" w:rsidRPr="009F37FE" w:rsidRDefault="009D2681" w:rsidP="009D2681">
            <w:pPr>
              <w:pStyle w:val="Prrafodelista"/>
              <w:numPr>
                <w:ilvl w:val="0"/>
                <w:numId w:val="15"/>
              </w:numPr>
            </w:pPr>
            <w:r>
              <w:t xml:space="preserve">La </w:t>
            </w:r>
            <w:r w:rsidRPr="009D2681">
              <w:rPr>
                <w:b/>
                <w:bCs/>
              </w:rPr>
              <w:t xml:space="preserve">tomografía </w:t>
            </w:r>
            <w:proofErr w:type="spellStart"/>
            <w:r w:rsidRPr="009D2681">
              <w:rPr>
                <w:b/>
                <w:bCs/>
              </w:rPr>
              <w:t>computerizada</w:t>
            </w:r>
            <w:proofErr w:type="spellEnd"/>
            <w:r w:rsidRPr="009D2681">
              <w:rPr>
                <w:b/>
                <w:bCs/>
              </w:rPr>
              <w:t xml:space="preserve"> de cuerpo completo (TCCC)</w:t>
            </w:r>
            <w:r w:rsidR="00EF17A2">
              <w:rPr>
                <w:b/>
                <w:bCs/>
              </w:rPr>
              <w:t xml:space="preserve"> </w:t>
            </w:r>
            <w:r w:rsidR="00EF17A2" w:rsidRPr="009F37FE">
              <w:t xml:space="preserve">esta indicada en todos los pacientes con trauma grave. </w:t>
            </w:r>
            <w:r w:rsidR="009F37FE" w:rsidRPr="009F37FE">
              <w:t xml:space="preserve"> El protocolo de TCCC debe incluir:</w:t>
            </w:r>
            <w:r w:rsidR="009F37FE">
              <w:rPr>
                <w:b/>
                <w:bCs/>
              </w:rPr>
              <w:t xml:space="preserve"> </w:t>
            </w:r>
          </w:p>
          <w:p w14:paraId="17DBFE0A" w14:textId="77777777" w:rsidR="009F37FE" w:rsidRPr="0044631F" w:rsidRDefault="009F37FE" w:rsidP="009F37FE">
            <w:pPr>
              <w:pStyle w:val="Prrafodelista"/>
              <w:numPr>
                <w:ilvl w:val="1"/>
                <w:numId w:val="15"/>
              </w:numPr>
              <w:rPr>
                <w:sz w:val="28"/>
                <w:szCs w:val="28"/>
              </w:rPr>
            </w:pPr>
            <w:r w:rsidRPr="0044631F">
              <w:t>TC de cráneo sin CIV</w:t>
            </w:r>
          </w:p>
          <w:p w14:paraId="62971521" w14:textId="77777777" w:rsidR="009F37FE" w:rsidRPr="0044631F" w:rsidRDefault="009F37FE" w:rsidP="009F37FE">
            <w:pPr>
              <w:pStyle w:val="Prrafodelista"/>
              <w:numPr>
                <w:ilvl w:val="1"/>
                <w:numId w:val="15"/>
              </w:numPr>
              <w:rPr>
                <w:sz w:val="28"/>
                <w:szCs w:val="28"/>
              </w:rPr>
            </w:pPr>
            <w:r w:rsidRPr="0044631F">
              <w:t>TC de columna cervical</w:t>
            </w:r>
          </w:p>
          <w:p w14:paraId="3386CB72" w14:textId="77777777" w:rsidR="009F37FE" w:rsidRPr="0044631F" w:rsidRDefault="009F37FE" w:rsidP="009F37FE">
            <w:pPr>
              <w:pStyle w:val="Prrafodelista"/>
              <w:numPr>
                <w:ilvl w:val="1"/>
                <w:numId w:val="15"/>
              </w:numPr>
              <w:rPr>
                <w:sz w:val="28"/>
                <w:szCs w:val="28"/>
              </w:rPr>
            </w:pPr>
            <w:r w:rsidRPr="0044631F">
              <w:t>TC de tórax-abdomen-pelvis en fase arterial.</w:t>
            </w:r>
          </w:p>
          <w:p w14:paraId="0BFE97EC" w14:textId="4E263BC7" w:rsidR="009F37FE" w:rsidRPr="0044631F" w:rsidRDefault="009F37FE" w:rsidP="009F37FE">
            <w:pPr>
              <w:pStyle w:val="Prrafodelista"/>
              <w:numPr>
                <w:ilvl w:val="1"/>
                <w:numId w:val="15"/>
              </w:numPr>
              <w:rPr>
                <w:sz w:val="28"/>
                <w:szCs w:val="28"/>
              </w:rPr>
            </w:pPr>
            <w:r w:rsidRPr="0044631F">
              <w:t>TC de abdomen-pelvis en fase portal.</w:t>
            </w:r>
          </w:p>
          <w:p w14:paraId="2BD01464" w14:textId="77777777" w:rsidR="009F37FE" w:rsidRPr="009F37FE" w:rsidRDefault="009F37FE" w:rsidP="009F37FE"/>
          <w:p w14:paraId="04BF6814" w14:textId="3FF7BA5E" w:rsidR="00376645" w:rsidRDefault="009F37FE" w:rsidP="00376645">
            <w:pPr>
              <w:ind w:left="720"/>
            </w:pPr>
            <w:r w:rsidRPr="009F37FE">
              <w:t>La fase arterial permite obtener un mapa vascular y detectar posibles lesiones vasculares contenidas (</w:t>
            </w:r>
            <w:proofErr w:type="spellStart"/>
            <w:r w:rsidRPr="009F37FE">
              <w:t>seudoaneurismas</w:t>
            </w:r>
            <w:proofErr w:type="spellEnd"/>
            <w:r w:rsidRPr="009F37FE">
              <w:t xml:space="preserve"> o fístulas arteriovenosas) que pueden pasar </w:t>
            </w:r>
            <w:r w:rsidRPr="009F37FE">
              <w:lastRenderedPageBreak/>
              <w:t>desapercibidas en la fase portal</w:t>
            </w:r>
            <w:r w:rsidRPr="009F37FE">
              <w:rPr>
                <w:color w:val="0080AC"/>
              </w:rPr>
              <w:t>.</w:t>
            </w:r>
            <w:r w:rsidR="00376645">
              <w:rPr>
                <w:color w:val="0080AC"/>
              </w:rPr>
              <w:t xml:space="preserve"> </w:t>
            </w:r>
            <w:r w:rsidRPr="009F37FE">
              <w:t>También es útil para identificar la hemorragia activa arteria</w:t>
            </w:r>
            <w:r w:rsidR="00376645">
              <w:t>l.</w:t>
            </w:r>
          </w:p>
          <w:p w14:paraId="1DB57D1F" w14:textId="77777777" w:rsidR="006D7BD2" w:rsidRDefault="006D7BD2" w:rsidP="00376645">
            <w:pPr>
              <w:ind w:left="720"/>
            </w:pPr>
          </w:p>
          <w:p w14:paraId="14C49FAE" w14:textId="3529B6CF" w:rsidR="00226ADF" w:rsidRPr="006D7BD2" w:rsidRDefault="00226ADF" w:rsidP="00376645">
            <w:pPr>
              <w:ind w:left="720"/>
            </w:pPr>
            <w:r w:rsidRPr="006D7BD2">
              <w:t xml:space="preserve">En función de los hallazgos </w:t>
            </w:r>
            <w:r w:rsidR="006D7BD2" w:rsidRPr="006D7BD2">
              <w:t>radiológicos, la</w:t>
            </w:r>
            <w:r w:rsidRPr="006D7BD2">
              <w:t xml:space="preserve"> sospecha clínic</w:t>
            </w:r>
            <w:r w:rsidR="006D7BD2" w:rsidRPr="006D7BD2">
              <w:t>a y la estabilidad del paciente a</w:t>
            </w:r>
            <w:r w:rsidRPr="006D7BD2">
              <w:t xml:space="preserve"> este protocolo estándar pueden a</w:t>
            </w:r>
            <w:r w:rsidR="006D7BD2" w:rsidRPr="006D7BD2">
              <w:t>ñ</w:t>
            </w:r>
            <w:r w:rsidRPr="006D7BD2">
              <w:t xml:space="preserve">adirse: </w:t>
            </w:r>
          </w:p>
          <w:p w14:paraId="53F1A4C3" w14:textId="77777777" w:rsidR="00226ADF" w:rsidRPr="006D7BD2" w:rsidRDefault="00226ADF" w:rsidP="00376645">
            <w:pPr>
              <w:ind w:left="720"/>
            </w:pPr>
          </w:p>
          <w:p w14:paraId="5B9671DF" w14:textId="08513415" w:rsidR="00226ADF" w:rsidRPr="006D7BD2" w:rsidRDefault="00226ADF" w:rsidP="00226AD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D7BD2">
              <w:t xml:space="preserve">Fase tardía a los 3 min con técnica de baja dosis </w:t>
            </w:r>
            <w:r w:rsidR="000E0319">
              <w:t xml:space="preserve">si sospecha de trauma genitourinario </w:t>
            </w:r>
            <w:r w:rsidR="006D7BD2" w:rsidRPr="006D7BD2">
              <w:t>(fase excretora). En caso de hematuria, fracturas costales bajas,</w:t>
            </w:r>
            <w:r w:rsidR="000E0319">
              <w:t xml:space="preserve"> fracturas vertebrales dorsales bajas y lumbares altas,</w:t>
            </w:r>
            <w:r w:rsidR="006D7BD2" w:rsidRPr="006D7BD2">
              <w:t xml:space="preserve"> dolor en flanco y posible lesión de vía urinaria según hallazgos TCCC.</w:t>
            </w:r>
          </w:p>
          <w:p w14:paraId="6CCEFC06" w14:textId="7B5FB4A2" w:rsidR="00226ADF" w:rsidRPr="006D7BD2" w:rsidRDefault="00226ADF" w:rsidP="00226AD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proofErr w:type="spellStart"/>
            <w:r w:rsidRPr="006D7BD2">
              <w:t>Angio</w:t>
            </w:r>
            <w:proofErr w:type="spellEnd"/>
            <w:r w:rsidRPr="006D7BD2">
              <w:t>-TC de las extremidades superiores o inferiores en</w:t>
            </w:r>
            <w:r w:rsidR="006D7BD2">
              <w:t xml:space="preserve"> </w:t>
            </w:r>
            <w:r w:rsidRPr="006D7BD2">
              <w:t>fase arterial en caso de</w:t>
            </w:r>
            <w:r w:rsidR="000E0319">
              <w:t xml:space="preserve"> trauma ortopédica y/o</w:t>
            </w:r>
            <w:r w:rsidRPr="006D7BD2">
              <w:t xml:space="preserve"> sospecha de lesión vascular.</w:t>
            </w:r>
          </w:p>
          <w:p w14:paraId="0EEBDD33" w14:textId="0BB60F5F" w:rsidR="0044631F" w:rsidRPr="0044631F" w:rsidRDefault="00226ADF" w:rsidP="00C606BD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proofErr w:type="spellStart"/>
            <w:r w:rsidRPr="006D7BD2">
              <w:t>Angio</w:t>
            </w:r>
            <w:proofErr w:type="spellEnd"/>
            <w:r w:rsidRPr="006D7BD2">
              <w:t xml:space="preserve"> TC de </w:t>
            </w:r>
            <w:proofErr w:type="spellStart"/>
            <w:r w:rsidR="000E0319">
              <w:t>de</w:t>
            </w:r>
            <w:proofErr w:type="spellEnd"/>
            <w:r w:rsidR="000E0319">
              <w:t xml:space="preserve"> troncos </w:t>
            </w:r>
            <w:proofErr w:type="spellStart"/>
            <w:r w:rsidR="000E0319">
              <w:t>supra</w:t>
            </w:r>
            <w:r w:rsidR="006C7CBB">
              <w:t>aórticos</w:t>
            </w:r>
            <w:proofErr w:type="spellEnd"/>
            <w:r w:rsidR="006C7CBB">
              <w:t xml:space="preserve"> (TSA)</w:t>
            </w:r>
            <w:r w:rsidR="006D7BD2" w:rsidRPr="006D7BD2">
              <w:t>:  En base a los criterios de Denve</w:t>
            </w:r>
            <w:r w:rsidR="0044631F">
              <w:t>r (Figura 2)</w:t>
            </w:r>
          </w:p>
          <w:p w14:paraId="4E1AD785" w14:textId="76CAF13D" w:rsidR="0044631F" w:rsidRDefault="0044631F" w:rsidP="0044631F">
            <w:pPr>
              <w:pStyle w:val="Prrafodelista"/>
              <w:ind w:left="1800"/>
            </w:pPr>
          </w:p>
          <w:p w14:paraId="6295AEE3" w14:textId="77777777" w:rsidR="0044631F" w:rsidRPr="0044631F" w:rsidRDefault="0044631F" w:rsidP="0044631F">
            <w:pPr>
              <w:pStyle w:val="Prrafodelista"/>
              <w:ind w:left="1800"/>
              <w:rPr>
                <w:sz w:val="28"/>
                <w:szCs w:val="28"/>
              </w:rPr>
            </w:pPr>
          </w:p>
          <w:p w14:paraId="3E1B0028" w14:textId="7BC3BDB5" w:rsidR="00376645" w:rsidRDefault="0044631F" w:rsidP="00376645">
            <w:pPr>
              <w:rPr>
                <w:sz w:val="28"/>
                <w:szCs w:val="28"/>
              </w:rPr>
            </w:pPr>
            <w:r w:rsidRPr="0044631F">
              <w:rPr>
                <w:noProof/>
                <w:sz w:val="28"/>
                <w:szCs w:val="28"/>
              </w:rPr>
              <w:drawing>
                <wp:inline distT="0" distB="0" distL="0" distR="0" wp14:anchorId="1F51C8E2" wp14:editId="1F9450F5">
                  <wp:extent cx="4363059" cy="529663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29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743FA" w14:textId="161A63D4" w:rsidR="0044631F" w:rsidRPr="006D7BD2" w:rsidRDefault="0044631F" w:rsidP="003766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Figura 2. Criterios de Denver modificados para despistaje de lesión vascular </w:t>
            </w:r>
          </w:p>
          <w:p w14:paraId="6BA7653F" w14:textId="0DF4B227" w:rsidR="00A8332D" w:rsidRDefault="00EF17A2" w:rsidP="005461B3">
            <w:r>
              <w:lastRenderedPageBreak/>
              <w:t xml:space="preserve">La elección de que </w:t>
            </w:r>
            <w:r w:rsidR="009D2681">
              <w:t>pruebas de imagen</w:t>
            </w:r>
            <w:r>
              <w:t xml:space="preserve"> realizar </w:t>
            </w:r>
            <w:r w:rsidR="009D2681">
              <w:t>durante la atención inicial dependerán de la estabilidad del paciente</w:t>
            </w:r>
            <w:r w:rsidR="006C7CBB">
              <w:t>:</w:t>
            </w:r>
          </w:p>
          <w:p w14:paraId="2138AB4E" w14:textId="161094F2" w:rsidR="006D7BD2" w:rsidRDefault="006D7BD2" w:rsidP="005461B3"/>
          <w:p w14:paraId="152ED7F1" w14:textId="2294E1EA" w:rsidR="006D7BD2" w:rsidRDefault="006E3B1E" w:rsidP="005461B3">
            <w:r w:rsidRPr="006E3B1E">
              <w:rPr>
                <w:noProof/>
              </w:rPr>
              <w:drawing>
                <wp:inline distT="0" distB="0" distL="0" distR="0" wp14:anchorId="44AB8621" wp14:editId="03457BB4">
                  <wp:extent cx="6016625" cy="3710305"/>
                  <wp:effectExtent l="0" t="0" r="3175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6625" cy="371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61ABB" w14:textId="4E7C61CF" w:rsidR="006D7BD2" w:rsidRDefault="006D7BD2" w:rsidP="005461B3"/>
          <w:p w14:paraId="14C10EEE" w14:textId="4D6673F0" w:rsidR="006D7BD2" w:rsidRDefault="006D7BD2" w:rsidP="005461B3"/>
          <w:p w14:paraId="6E7A8FDB" w14:textId="516C1B7B" w:rsidR="006D7BD2" w:rsidRDefault="00C4761A" w:rsidP="005461B3">
            <w:r>
              <w:t>*En caso de mujeres embarazadas/edad fértil el manejo diagnóstico es equivalente.</w:t>
            </w:r>
          </w:p>
          <w:p w14:paraId="6DC2D3F3" w14:textId="77777777" w:rsidR="006D7BD2" w:rsidRDefault="006D7BD2" w:rsidP="005461B3"/>
          <w:p w14:paraId="595C71AF" w14:textId="77777777" w:rsidR="00EF17A2" w:rsidRDefault="00EF17A2" w:rsidP="005461B3"/>
          <w:p w14:paraId="120BCD92" w14:textId="77777777" w:rsidR="00A8332D" w:rsidRDefault="00A8332D" w:rsidP="005461B3"/>
          <w:p w14:paraId="4E33CC3F" w14:textId="77777777" w:rsidR="00D649BB" w:rsidRDefault="00D649BB" w:rsidP="005461B3"/>
          <w:p w14:paraId="70742001" w14:textId="77777777" w:rsidR="005461B3" w:rsidRDefault="005461B3" w:rsidP="005461B3"/>
          <w:p w14:paraId="073B97F0" w14:textId="77777777" w:rsidR="005461B3" w:rsidRDefault="005461B3" w:rsidP="005461B3"/>
          <w:p w14:paraId="14408BBC" w14:textId="77777777" w:rsidR="005461B3" w:rsidRDefault="005461B3" w:rsidP="005461B3"/>
          <w:p w14:paraId="0B3D71F5" w14:textId="77777777" w:rsidR="005461B3" w:rsidRDefault="005461B3" w:rsidP="005461B3"/>
          <w:p w14:paraId="4F49827E" w14:textId="77777777" w:rsidR="005461B3" w:rsidRDefault="005461B3" w:rsidP="005461B3"/>
          <w:p w14:paraId="52200858" w14:textId="77777777" w:rsidR="005461B3" w:rsidRDefault="005461B3" w:rsidP="005461B3"/>
          <w:p w14:paraId="31ECF960" w14:textId="77777777" w:rsidR="005461B3" w:rsidRDefault="005461B3" w:rsidP="005461B3"/>
          <w:p w14:paraId="11BA5651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14:paraId="348E0D69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27F53" w14:paraId="21DDC7D6" w14:textId="77777777">
        <w:tc>
          <w:tcPr>
            <w:tcW w:w="9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242F" w14:textId="41FB44F2" w:rsidR="00227F53" w:rsidRDefault="00227F53">
            <w:pPr>
              <w:widowControl w:val="0"/>
              <w:spacing w:line="240" w:lineRule="auto"/>
              <w:contextualSpacing w:val="0"/>
              <w:rPr>
                <w:b/>
              </w:rPr>
            </w:pPr>
          </w:p>
        </w:tc>
      </w:tr>
      <w:tr w:rsidR="00227F53" w14:paraId="704ED037" w14:textId="77777777">
        <w:tc>
          <w:tcPr>
            <w:tcW w:w="96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2F63" w14:textId="1CD07CFA" w:rsidR="00227F53" w:rsidRDefault="00132EF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Lidia Orejón García</w:t>
            </w:r>
          </w:p>
        </w:tc>
      </w:tr>
      <w:tr w:rsidR="00227F53" w14:paraId="226BA11F" w14:textId="77777777">
        <w:tc>
          <w:tcPr>
            <w:tcW w:w="9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B35C" w14:textId="77777777" w:rsidR="00227F53" w:rsidRDefault="006B1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REFERENCIAS (4-5)</w:t>
            </w:r>
          </w:p>
        </w:tc>
      </w:tr>
      <w:tr w:rsidR="00227F53" w:rsidRPr="00C4761A" w14:paraId="339885F2" w14:textId="77777777"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3271" w14:textId="77777777" w:rsidR="00227F53" w:rsidRPr="00C4761A" w:rsidRDefault="00C4761A" w:rsidP="00C4761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Huber-Wagner S,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Braunschweig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R,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Kildal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D,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Bieler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D,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Prediger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B,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Hertwig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M, Kugler C,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Reske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S,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Wurmb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T,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Achatz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G,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Friemert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B,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Schoeneberg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C.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Imaging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strategies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for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patients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lastRenderedPageBreak/>
              <w:t>with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multiple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and/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or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severe injuries in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the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resuscitation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room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: a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systematic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review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and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clinical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practice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guideline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update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Eur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J Trauma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Emerg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Surg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. 2025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Apr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2;51(1):158.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doi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: 10.1007/s00068-025-02840-8. PMID: 40172649; PMCID: PMC11965254.</w:t>
            </w:r>
          </w:p>
          <w:p w14:paraId="6A796879" w14:textId="77777777" w:rsidR="00C4761A" w:rsidRPr="00C4761A" w:rsidRDefault="00C4761A" w:rsidP="00C4761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Ritter J, O'Brien S, Rivet D,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Gibb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I,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Grimes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J,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Hinds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S,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Jessinger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R, May T,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Wirt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M,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Shackelford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S, Adam O, York G, Ritchie B, Flores R,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Stockinger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Z.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Radiology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: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Imaging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Trauma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Patients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in a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Deployed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Setting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. Mil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Med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. 2018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Sep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1;183(suppl_2):60-64.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doi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: 10.1093/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milmed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/usy063</w:t>
            </w:r>
          </w:p>
          <w:p w14:paraId="74B62BAA" w14:textId="77777777" w:rsidR="00C4761A" w:rsidRPr="00C4761A" w:rsidRDefault="00C4761A" w:rsidP="00C4761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Martinez Chamorro </w:t>
            </w:r>
            <w:proofErr w:type="gram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E, 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Ibañez</w:t>
            </w:r>
            <w:proofErr w:type="spellEnd"/>
            <w:proofErr w:type="gram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L,  Blanco A, Chico M, Borruel S. Manejo y protocolos de imagen en el paciente politraumatizado grave</w:t>
            </w:r>
          </w:p>
          <w:p w14:paraId="07DFE673" w14:textId="55D26D95" w:rsidR="00C4761A" w:rsidRPr="00C4761A" w:rsidRDefault="00C4761A" w:rsidP="00C4761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Qamar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SR, Green CR,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Ghandehari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H, Holmes S, Hurley S,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Khumalo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Z, Mohammed MF,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Ziesmann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M, Jain V,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Thavanathan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R, Berger FH. CETARS/CAR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Practice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Guideline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on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Imaging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the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Pregnant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Trauma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Patient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. Can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Assoc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Radiol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 xml:space="preserve"> J. 2024 Nov;75(4):743-750. </w:t>
            </w:r>
            <w:proofErr w:type="spellStart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doi</w:t>
            </w:r>
            <w:proofErr w:type="spellEnd"/>
            <w:r w:rsidRPr="00C4761A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: 10.1177/08465371241254966.</w:t>
            </w:r>
          </w:p>
        </w:tc>
      </w:tr>
    </w:tbl>
    <w:p w14:paraId="7D576948" w14:textId="77777777" w:rsidR="00227F53" w:rsidRDefault="00227F53">
      <w:pPr>
        <w:contextualSpacing w:val="0"/>
      </w:pPr>
    </w:p>
    <w:p w14:paraId="1D6EDD3A" w14:textId="77777777" w:rsidR="00227F53" w:rsidRDefault="006B1A45">
      <w:pPr>
        <w:widowControl w:val="0"/>
        <w:spacing w:line="240" w:lineRule="auto"/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LAS MODIFICACIONES DEL PROTOCOLO</w:t>
      </w:r>
    </w:p>
    <w:p w14:paraId="4129CD77" w14:textId="77777777" w:rsidR="00227F53" w:rsidRDefault="00227F53">
      <w:pPr>
        <w:contextualSpacing w:val="0"/>
      </w:pPr>
    </w:p>
    <w:tbl>
      <w:tblPr>
        <w:tblStyle w:val="a1"/>
        <w:tblW w:w="96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380"/>
      </w:tblGrid>
      <w:tr w:rsidR="00227F53" w14:paraId="42F475CA" w14:textId="77777777"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2E6F" w14:textId="77777777" w:rsidR="00227F53" w:rsidRDefault="006B1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6137" w14:textId="77777777" w:rsidR="00227F53" w:rsidRDefault="006B1A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DESCRIPCIÓN DE LAS MODIFICACIONES DEL PROTOCOLO</w:t>
            </w:r>
          </w:p>
        </w:tc>
      </w:tr>
      <w:tr w:rsidR="00227F53" w14:paraId="61BD36C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9522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0F85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27F53" w14:paraId="77C4779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86B5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899F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27F53" w14:paraId="3075A61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E6F4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F08A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27F53" w14:paraId="7A307B0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9C0A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F882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27F53" w14:paraId="1313346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9EDF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BD4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227F53" w14:paraId="651B35E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654D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2DEA" w14:textId="77777777" w:rsidR="00227F53" w:rsidRDefault="00227F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14:paraId="5FF0058F" w14:textId="77777777" w:rsidR="00227F53" w:rsidRDefault="00227F53">
      <w:pPr>
        <w:contextualSpacing w:val="0"/>
      </w:pPr>
    </w:p>
    <w:sectPr w:rsidR="00227F53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E689" w14:textId="77777777" w:rsidR="00DF0C4E" w:rsidRDefault="00DF0C4E">
      <w:pPr>
        <w:spacing w:line="240" w:lineRule="auto"/>
      </w:pPr>
      <w:r>
        <w:separator/>
      </w:r>
    </w:p>
  </w:endnote>
  <w:endnote w:type="continuationSeparator" w:id="0">
    <w:p w14:paraId="56DBD27A" w14:textId="77777777" w:rsidR="00DF0C4E" w:rsidRDefault="00DF0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9F11" w14:textId="77777777" w:rsidR="00227F53" w:rsidRDefault="006B1A45">
    <w:pPr>
      <w:contextualSpacing w:val="0"/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141B1">
      <w:rPr>
        <w:b/>
        <w:noProof/>
      </w:rPr>
      <w:t>1</w:t>
    </w:r>
    <w:r>
      <w:rPr>
        <w:b/>
      </w:rPr>
      <w:fldChar w:fldCharType="end"/>
    </w:r>
    <w:r>
      <w:rPr>
        <w:b/>
      </w:rPr>
      <w:t>/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7141B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B5F4" w14:textId="77777777" w:rsidR="00DF0C4E" w:rsidRDefault="00DF0C4E">
      <w:pPr>
        <w:spacing w:line="240" w:lineRule="auto"/>
      </w:pPr>
      <w:r>
        <w:separator/>
      </w:r>
    </w:p>
  </w:footnote>
  <w:footnote w:type="continuationSeparator" w:id="0">
    <w:p w14:paraId="62D0F946" w14:textId="77777777" w:rsidR="00DF0C4E" w:rsidRDefault="00DF0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AC09" w14:textId="77777777" w:rsidR="00227F53" w:rsidRDefault="006B1A45">
    <w:pPr>
      <w:contextualSpacing w:val="0"/>
    </w:pPr>
    <w:r>
      <w:rPr>
        <w:rFonts w:ascii="Arial Narrow" w:eastAsia="Arial Narrow" w:hAnsi="Arial Narrow" w:cs="Arial Narrow"/>
        <w:sz w:val="36"/>
        <w:szCs w:val="36"/>
        <w:highlight w:val="red"/>
      </w:rPr>
      <w:t>PROTOCOLO EN FASE DE BORRADOR SIN VALIDEZ CLÍNICA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D84"/>
    <w:multiLevelType w:val="hybridMultilevel"/>
    <w:tmpl w:val="B0D67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12A6"/>
    <w:multiLevelType w:val="hybridMultilevel"/>
    <w:tmpl w:val="3A0E7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609A"/>
    <w:multiLevelType w:val="hybridMultilevel"/>
    <w:tmpl w:val="6010AF52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0763C7"/>
    <w:multiLevelType w:val="hybridMultilevel"/>
    <w:tmpl w:val="353A7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E04B1"/>
    <w:multiLevelType w:val="hybridMultilevel"/>
    <w:tmpl w:val="54C0E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A23DD"/>
    <w:multiLevelType w:val="hybridMultilevel"/>
    <w:tmpl w:val="36280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0B5BF6"/>
    <w:multiLevelType w:val="hybridMultilevel"/>
    <w:tmpl w:val="A226F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E1FB4"/>
    <w:multiLevelType w:val="hybridMultilevel"/>
    <w:tmpl w:val="FD5AF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4D74"/>
    <w:multiLevelType w:val="hybridMultilevel"/>
    <w:tmpl w:val="22F67BDA"/>
    <w:lvl w:ilvl="0" w:tplc="0C0A000F">
      <w:start w:val="1"/>
      <w:numFmt w:val="decimal"/>
      <w:lvlText w:val="%1."/>
      <w:lvlJc w:val="left"/>
      <w:pPr>
        <w:ind w:left="6314" w:hanging="360"/>
      </w:pPr>
    </w:lvl>
    <w:lvl w:ilvl="1" w:tplc="0C0A0019" w:tentative="1">
      <w:start w:val="1"/>
      <w:numFmt w:val="lowerLetter"/>
      <w:lvlText w:val="%2."/>
      <w:lvlJc w:val="left"/>
      <w:pPr>
        <w:ind w:left="7034" w:hanging="360"/>
      </w:pPr>
    </w:lvl>
    <w:lvl w:ilvl="2" w:tplc="0C0A001B" w:tentative="1">
      <w:start w:val="1"/>
      <w:numFmt w:val="lowerRoman"/>
      <w:lvlText w:val="%3."/>
      <w:lvlJc w:val="right"/>
      <w:pPr>
        <w:ind w:left="7754" w:hanging="180"/>
      </w:pPr>
    </w:lvl>
    <w:lvl w:ilvl="3" w:tplc="0C0A000F" w:tentative="1">
      <w:start w:val="1"/>
      <w:numFmt w:val="decimal"/>
      <w:lvlText w:val="%4."/>
      <w:lvlJc w:val="left"/>
      <w:pPr>
        <w:ind w:left="8474" w:hanging="360"/>
      </w:pPr>
    </w:lvl>
    <w:lvl w:ilvl="4" w:tplc="0C0A0019" w:tentative="1">
      <w:start w:val="1"/>
      <w:numFmt w:val="lowerLetter"/>
      <w:lvlText w:val="%5."/>
      <w:lvlJc w:val="left"/>
      <w:pPr>
        <w:ind w:left="9194" w:hanging="360"/>
      </w:pPr>
    </w:lvl>
    <w:lvl w:ilvl="5" w:tplc="0C0A001B" w:tentative="1">
      <w:start w:val="1"/>
      <w:numFmt w:val="lowerRoman"/>
      <w:lvlText w:val="%6."/>
      <w:lvlJc w:val="right"/>
      <w:pPr>
        <w:ind w:left="9914" w:hanging="180"/>
      </w:pPr>
    </w:lvl>
    <w:lvl w:ilvl="6" w:tplc="0C0A000F" w:tentative="1">
      <w:start w:val="1"/>
      <w:numFmt w:val="decimal"/>
      <w:lvlText w:val="%7."/>
      <w:lvlJc w:val="left"/>
      <w:pPr>
        <w:ind w:left="10634" w:hanging="360"/>
      </w:pPr>
    </w:lvl>
    <w:lvl w:ilvl="7" w:tplc="0C0A0019" w:tentative="1">
      <w:start w:val="1"/>
      <w:numFmt w:val="lowerLetter"/>
      <w:lvlText w:val="%8."/>
      <w:lvlJc w:val="left"/>
      <w:pPr>
        <w:ind w:left="11354" w:hanging="360"/>
      </w:pPr>
    </w:lvl>
    <w:lvl w:ilvl="8" w:tplc="0C0A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9" w15:restartNumberingAfterBreak="0">
    <w:nsid w:val="5E3E4B52"/>
    <w:multiLevelType w:val="hybridMultilevel"/>
    <w:tmpl w:val="EC144872"/>
    <w:lvl w:ilvl="0" w:tplc="859E90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62648"/>
    <w:multiLevelType w:val="hybridMultilevel"/>
    <w:tmpl w:val="93DC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45B25"/>
    <w:multiLevelType w:val="hybridMultilevel"/>
    <w:tmpl w:val="A4ACE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80E33"/>
    <w:multiLevelType w:val="hybridMultilevel"/>
    <w:tmpl w:val="C8027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BE8"/>
    <w:multiLevelType w:val="hybridMultilevel"/>
    <w:tmpl w:val="411A1046"/>
    <w:lvl w:ilvl="0" w:tplc="AB764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217FD"/>
    <w:multiLevelType w:val="hybridMultilevel"/>
    <w:tmpl w:val="18A26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11B78"/>
    <w:multiLevelType w:val="hybridMultilevel"/>
    <w:tmpl w:val="198ED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23522"/>
    <w:multiLevelType w:val="hybridMultilevel"/>
    <w:tmpl w:val="1E5C3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61159">
    <w:abstractNumId w:val="7"/>
  </w:num>
  <w:num w:numId="2" w16cid:durableId="622997775">
    <w:abstractNumId w:val="3"/>
  </w:num>
  <w:num w:numId="3" w16cid:durableId="1053771518">
    <w:abstractNumId w:val="6"/>
  </w:num>
  <w:num w:numId="4" w16cid:durableId="1025667208">
    <w:abstractNumId w:val="13"/>
  </w:num>
  <w:num w:numId="5" w16cid:durableId="1878153587">
    <w:abstractNumId w:val="12"/>
  </w:num>
  <w:num w:numId="6" w16cid:durableId="2084598346">
    <w:abstractNumId w:val="14"/>
  </w:num>
  <w:num w:numId="7" w16cid:durableId="861825461">
    <w:abstractNumId w:val="4"/>
  </w:num>
  <w:num w:numId="8" w16cid:durableId="181209522">
    <w:abstractNumId w:val="16"/>
  </w:num>
  <w:num w:numId="9" w16cid:durableId="269508383">
    <w:abstractNumId w:val="11"/>
  </w:num>
  <w:num w:numId="10" w16cid:durableId="1796370205">
    <w:abstractNumId w:val="10"/>
  </w:num>
  <w:num w:numId="11" w16cid:durableId="524173727">
    <w:abstractNumId w:val="15"/>
  </w:num>
  <w:num w:numId="12" w16cid:durableId="1489515977">
    <w:abstractNumId w:val="1"/>
  </w:num>
  <w:num w:numId="13" w16cid:durableId="2136871643">
    <w:abstractNumId w:val="8"/>
  </w:num>
  <w:num w:numId="14" w16cid:durableId="2031643504">
    <w:abstractNumId w:val="5"/>
  </w:num>
  <w:num w:numId="15" w16cid:durableId="1874607167">
    <w:abstractNumId w:val="0"/>
  </w:num>
  <w:num w:numId="16" w16cid:durableId="288322102">
    <w:abstractNumId w:val="2"/>
  </w:num>
  <w:num w:numId="17" w16cid:durableId="1767384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53"/>
    <w:rsid w:val="000E0319"/>
    <w:rsid w:val="00132EFB"/>
    <w:rsid w:val="0016161A"/>
    <w:rsid w:val="00170EC2"/>
    <w:rsid w:val="001748B2"/>
    <w:rsid w:val="00226ADF"/>
    <w:rsid w:val="00227F53"/>
    <w:rsid w:val="003136B8"/>
    <w:rsid w:val="00376645"/>
    <w:rsid w:val="00397C9D"/>
    <w:rsid w:val="0044631F"/>
    <w:rsid w:val="0049676B"/>
    <w:rsid w:val="005461B3"/>
    <w:rsid w:val="00592B6E"/>
    <w:rsid w:val="006B1A45"/>
    <w:rsid w:val="006C403B"/>
    <w:rsid w:val="006C7CBB"/>
    <w:rsid w:val="006D14D5"/>
    <w:rsid w:val="006D7BD2"/>
    <w:rsid w:val="006E3B1E"/>
    <w:rsid w:val="006F030B"/>
    <w:rsid w:val="007141B1"/>
    <w:rsid w:val="00785983"/>
    <w:rsid w:val="008006AC"/>
    <w:rsid w:val="008631AB"/>
    <w:rsid w:val="008B59DC"/>
    <w:rsid w:val="009D2681"/>
    <w:rsid w:val="009F37FE"/>
    <w:rsid w:val="00A67C54"/>
    <w:rsid w:val="00A8332D"/>
    <w:rsid w:val="00BE0AAC"/>
    <w:rsid w:val="00C4761A"/>
    <w:rsid w:val="00D27A1A"/>
    <w:rsid w:val="00D649BB"/>
    <w:rsid w:val="00DF0C4E"/>
    <w:rsid w:val="00ED4EBF"/>
    <w:rsid w:val="00EE6200"/>
    <w:rsid w:val="00EF17A2"/>
    <w:rsid w:val="00F16532"/>
    <w:rsid w:val="00F2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5A07"/>
  <w15:docId w15:val="{500BF7E6-838B-47F6-B92F-0F53F5EC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6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6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06AC"/>
    <w:pPr>
      <w:ind w:left="720"/>
    </w:pPr>
  </w:style>
  <w:style w:type="table" w:styleId="Tablaconcuadrcula">
    <w:name w:val="Table Grid"/>
    <w:basedOn w:val="Tablanormal"/>
    <w:uiPriority w:val="59"/>
    <w:rsid w:val="005461B3"/>
    <w:pPr>
      <w:spacing w:line="240" w:lineRule="auto"/>
      <w:contextualSpacing w:val="0"/>
    </w:pPr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41B1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 Orejón García</dc:creator>
  <cp:lastModifiedBy>Adrian Marcos</cp:lastModifiedBy>
  <cp:revision>2</cp:revision>
  <dcterms:created xsi:type="dcterms:W3CDTF">2025-06-23T10:55:00Z</dcterms:created>
  <dcterms:modified xsi:type="dcterms:W3CDTF">2025-06-23T10:55:00Z</dcterms:modified>
</cp:coreProperties>
</file>