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C403" w14:textId="77777777" w:rsidR="00C7250F" w:rsidRDefault="007F5B53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797" w:type="dxa"/>
        <w:tblInd w:w="-661" w:type="dxa"/>
        <w:tblCellMar>
          <w:left w:w="4" w:type="dxa"/>
        </w:tblCellMar>
        <w:tblLook w:val="04A0" w:firstRow="1" w:lastRow="0" w:firstColumn="1" w:lastColumn="0" w:noHBand="0" w:noVBand="1"/>
      </w:tblPr>
      <w:tblGrid>
        <w:gridCol w:w="3486"/>
        <w:gridCol w:w="4190"/>
        <w:gridCol w:w="2121"/>
      </w:tblGrid>
      <w:tr w:rsidR="001C010E" w14:paraId="3CDEB2AE" w14:textId="77777777" w:rsidTr="009E4A54">
        <w:trPr>
          <w:trHeight w:val="209"/>
        </w:trPr>
        <w:tc>
          <w:tcPr>
            <w:tcW w:w="3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148BDE" w14:textId="644B1919" w:rsidR="00C7250F" w:rsidRDefault="008F0A29" w:rsidP="00E76C98">
            <w:pPr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 wp14:anchorId="300EBFD5" wp14:editId="40E2097F">
                  <wp:extent cx="1756156" cy="621665"/>
                  <wp:effectExtent l="0" t="0" r="0" b="0"/>
                  <wp:docPr id="455" name="Picture 455" descr="12_de_octubre jp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156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6A954" w14:textId="6F25D1D3" w:rsidR="00C7250F" w:rsidRDefault="00C7250F" w:rsidP="00E76C98">
            <w:pPr>
              <w:jc w:val="center"/>
            </w:pPr>
          </w:p>
          <w:p w14:paraId="72DAC1A5" w14:textId="1186AC25" w:rsidR="00C7250F" w:rsidRDefault="00C7250F" w:rsidP="00E76C98">
            <w:pPr>
              <w:jc w:val="center"/>
            </w:pPr>
          </w:p>
          <w:p w14:paraId="4D43D7BE" w14:textId="7686B764" w:rsidR="00C7250F" w:rsidRDefault="00C7250F" w:rsidP="00E76C98">
            <w:pPr>
              <w:jc w:val="center"/>
            </w:pPr>
          </w:p>
          <w:p w14:paraId="5F08F473" w14:textId="65E0D8B4" w:rsidR="008F0A29" w:rsidRDefault="008F0A29" w:rsidP="00E76C98">
            <w:pPr>
              <w:ind w:right="325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27B9E210" w14:textId="07FAE335" w:rsidR="00C7250F" w:rsidRDefault="008F0A29" w:rsidP="00E76C98">
            <w:pPr>
              <w:ind w:right="32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CUIDADOS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CRÍTICOS </w:t>
            </w:r>
            <w:r w:rsidR="007F5B53">
              <w:rPr>
                <w:rFonts w:ascii="Arial" w:eastAsia="Arial" w:hAnsi="Arial" w:cs="Arial"/>
                <w:b/>
                <w:sz w:val="24"/>
              </w:rPr>
              <w:t>4ªD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y UCITE</w:t>
            </w:r>
          </w:p>
          <w:p w14:paraId="21223CE2" w14:textId="3DA68FB6" w:rsidR="00C7250F" w:rsidRDefault="00C7250F" w:rsidP="00E76C98">
            <w:pPr>
              <w:ind w:left="559"/>
              <w:jc w:val="center"/>
            </w:pPr>
          </w:p>
        </w:tc>
        <w:tc>
          <w:tcPr>
            <w:tcW w:w="4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FE1F3"/>
          </w:tcPr>
          <w:p w14:paraId="39865F00" w14:textId="77777777" w:rsidR="00C7250F" w:rsidRDefault="007F5B53" w:rsidP="00E76C9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72F765FA" w14:textId="77777777" w:rsidR="00C7250F" w:rsidRDefault="007F5B53" w:rsidP="00E76C9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43"/>
              </w:rPr>
              <w:t xml:space="preserve"> </w:t>
            </w:r>
          </w:p>
          <w:p w14:paraId="18102601" w14:textId="77777777" w:rsidR="00C7250F" w:rsidRDefault="007F5B53" w:rsidP="00E76C98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color w:val="4471C4"/>
                <w:sz w:val="28"/>
              </w:rPr>
              <w:t xml:space="preserve">PROTOCOLO/ </w:t>
            </w:r>
          </w:p>
          <w:p w14:paraId="3E8EA358" w14:textId="77777777" w:rsidR="00C7250F" w:rsidRDefault="007F5B53" w:rsidP="00E76C98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  <w:color w:val="4471C4"/>
                <w:sz w:val="28"/>
              </w:rPr>
              <w:t xml:space="preserve">PROCEDIMIENTO </w:t>
            </w:r>
          </w:p>
          <w:p w14:paraId="011D3C8B" w14:textId="77777777" w:rsidR="00C7250F" w:rsidRDefault="007F5B53" w:rsidP="00E76C98">
            <w:pPr>
              <w:ind w:left="91"/>
              <w:jc w:val="center"/>
            </w:pPr>
            <w:r>
              <w:rPr>
                <w:rFonts w:ascii="Arial" w:eastAsia="Arial" w:hAnsi="Arial" w:cs="Arial"/>
                <w:b/>
                <w:color w:val="4471C4"/>
                <w:sz w:val="28"/>
              </w:rPr>
              <w:t xml:space="preserve"> </w:t>
            </w:r>
          </w:p>
          <w:p w14:paraId="1900678D" w14:textId="4743A7C7" w:rsidR="00C7250F" w:rsidRDefault="00C7250F" w:rsidP="00E76C98">
            <w:pPr>
              <w:spacing w:line="241" w:lineRule="auto"/>
            </w:pPr>
          </w:p>
          <w:p w14:paraId="098853C4" w14:textId="4E022AD8" w:rsidR="008F0A29" w:rsidRDefault="008F0A29" w:rsidP="00E76C98">
            <w:pPr>
              <w:spacing w:line="241" w:lineRule="auto"/>
            </w:pPr>
          </w:p>
          <w:p w14:paraId="4432737D" w14:textId="77777777" w:rsidR="008F0A29" w:rsidRDefault="008F0A29" w:rsidP="00E76C98">
            <w:pPr>
              <w:spacing w:line="241" w:lineRule="auto"/>
            </w:pPr>
          </w:p>
          <w:p w14:paraId="3F9158E0" w14:textId="3CF0D6AF" w:rsidR="00C7250F" w:rsidRDefault="00427560" w:rsidP="00E76C98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color w:val="4471C4"/>
                <w:sz w:val="28"/>
              </w:rPr>
              <w:t>TRASLADO</w:t>
            </w:r>
            <w:r w:rsidR="008F0A29" w:rsidRPr="008F0A29">
              <w:rPr>
                <w:rFonts w:ascii="Arial" w:eastAsia="Arial" w:hAnsi="Arial" w:cs="Arial"/>
                <w:b/>
                <w:color w:val="4471C4"/>
                <w:sz w:val="28"/>
              </w:rPr>
              <w:t xml:space="preserve"> INTRAHOSPITALARIO</w:t>
            </w:r>
            <w:r w:rsidR="00B12096">
              <w:rPr>
                <w:rFonts w:ascii="Arial" w:eastAsia="Arial" w:hAnsi="Arial" w:cs="Arial"/>
                <w:b/>
                <w:color w:val="4471C4"/>
                <w:sz w:val="28"/>
              </w:rPr>
              <w:t xml:space="preserve"> DE PACIENTES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1F3"/>
          </w:tcPr>
          <w:p w14:paraId="460B5C3F" w14:textId="77777777" w:rsidR="00C7250F" w:rsidRDefault="007F5B53" w:rsidP="00E76C98">
            <w:pPr>
              <w:ind w:lef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VERSIÓN </w:t>
            </w:r>
          </w:p>
        </w:tc>
      </w:tr>
      <w:tr w:rsidR="001C010E" w14:paraId="387316A9" w14:textId="77777777" w:rsidTr="009E4A54">
        <w:trPr>
          <w:trHeight w:val="37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79963A" w14:textId="77777777" w:rsidR="00C7250F" w:rsidRDefault="00C7250F" w:rsidP="00E76C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500D1" w14:textId="77777777" w:rsidR="00C7250F" w:rsidRDefault="00C7250F" w:rsidP="00E76C98"/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3249" w14:textId="77777777" w:rsidR="00C7250F" w:rsidRPr="008F0A29" w:rsidRDefault="007F5B53" w:rsidP="00E76C98">
            <w:pPr>
              <w:ind w:left="1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2BFEE4A0" w14:textId="77777777" w:rsidR="00C7250F" w:rsidRPr="008F0A29" w:rsidRDefault="007F5B53" w:rsidP="00E76C98">
            <w:pPr>
              <w:ind w:left="114"/>
              <w:rPr>
                <w:sz w:val="20"/>
                <w:szCs w:val="20"/>
              </w:rPr>
            </w:pPr>
            <w:r w:rsidRPr="008F0A29">
              <w:rPr>
                <w:rFonts w:ascii="Arial" w:eastAsia="Arial" w:hAnsi="Arial" w:cs="Arial"/>
                <w:b/>
                <w:sz w:val="20"/>
                <w:szCs w:val="20"/>
              </w:rPr>
              <w:t xml:space="preserve">Fecha publicación: </w:t>
            </w:r>
          </w:p>
          <w:p w14:paraId="424B7812" w14:textId="0702C909" w:rsidR="00C7250F" w:rsidRPr="008F0A29" w:rsidRDefault="00C7250F" w:rsidP="00E76C98">
            <w:pPr>
              <w:ind w:left="1"/>
              <w:rPr>
                <w:sz w:val="20"/>
                <w:szCs w:val="20"/>
              </w:rPr>
            </w:pPr>
          </w:p>
          <w:p w14:paraId="20BE20F6" w14:textId="77777777" w:rsidR="008F0A29" w:rsidRPr="008F0A29" w:rsidRDefault="007F5B53" w:rsidP="00E76C98">
            <w:pPr>
              <w:spacing w:line="239" w:lineRule="auto"/>
              <w:ind w:left="114"/>
              <w:rPr>
                <w:sz w:val="20"/>
                <w:szCs w:val="20"/>
              </w:rPr>
            </w:pPr>
            <w:r w:rsidRPr="008F0A29">
              <w:rPr>
                <w:rFonts w:ascii="Arial" w:eastAsia="Arial" w:hAnsi="Arial" w:cs="Arial"/>
                <w:b/>
                <w:sz w:val="20"/>
                <w:szCs w:val="20"/>
              </w:rPr>
              <w:t xml:space="preserve">Fecha prevista actualización: </w:t>
            </w:r>
          </w:p>
          <w:p w14:paraId="39B97D2A" w14:textId="1C03996A" w:rsidR="008F0A29" w:rsidRPr="008F0A29" w:rsidRDefault="008F0A29" w:rsidP="00E76C98">
            <w:pPr>
              <w:ind w:left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21333A" w14:textId="77777777" w:rsidR="008F0A29" w:rsidRPr="008F0A29" w:rsidRDefault="008F0A29" w:rsidP="00E76C98">
            <w:pPr>
              <w:ind w:left="1"/>
              <w:rPr>
                <w:sz w:val="20"/>
                <w:szCs w:val="20"/>
              </w:rPr>
            </w:pPr>
          </w:p>
          <w:p w14:paraId="70CCE410" w14:textId="77777777" w:rsidR="008F0A29" w:rsidRPr="008F0A29" w:rsidRDefault="007F5B53" w:rsidP="00E76C98">
            <w:pPr>
              <w:ind w:left="114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F0A29">
              <w:rPr>
                <w:rFonts w:ascii="Arial" w:eastAsia="Arial" w:hAnsi="Arial" w:cs="Arial"/>
                <w:b/>
                <w:sz w:val="20"/>
                <w:szCs w:val="20"/>
              </w:rPr>
              <w:t>Autores:</w:t>
            </w:r>
          </w:p>
          <w:p w14:paraId="5259A64A" w14:textId="1CDDEB87" w:rsidR="00173114" w:rsidRDefault="00173114" w:rsidP="00E76C98">
            <w:pPr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Javier Martín de Castro</w:t>
            </w:r>
          </w:p>
          <w:p w14:paraId="2FF3CFCF" w14:textId="77777777" w:rsidR="00DF1970" w:rsidRDefault="00DF1970" w:rsidP="00E76C98">
            <w:pPr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Laura Campos Bermejo</w:t>
            </w:r>
          </w:p>
          <w:p w14:paraId="08A152D8" w14:textId="7DBEBF60" w:rsidR="00DF1970" w:rsidRDefault="009E7D94" w:rsidP="00E76C98">
            <w:pPr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María </w:t>
            </w:r>
            <w:r w:rsidR="00DF1970">
              <w:rPr>
                <w:rFonts w:ascii="Arial" w:eastAsia="Arial" w:hAnsi="Arial" w:cs="Arial"/>
                <w:sz w:val="20"/>
                <w:szCs w:val="20"/>
              </w:rPr>
              <w:t>Victoria Luna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Montero</w:t>
            </w:r>
          </w:p>
          <w:p w14:paraId="79DD437D" w14:textId="64499220" w:rsidR="00C7250F" w:rsidRPr="009709CD" w:rsidRDefault="00DF1970" w:rsidP="008943BF">
            <w:pPr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Gustavo</w:t>
            </w:r>
            <w:r w:rsidR="008943BF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Pérez García</w:t>
            </w:r>
          </w:p>
        </w:tc>
      </w:tr>
      <w:tr w:rsidR="001C010E" w14:paraId="461D6A01" w14:textId="77777777" w:rsidTr="009E4A54">
        <w:trPr>
          <w:trHeight w:val="3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2391BCD" w14:textId="77777777" w:rsidR="00C7250F" w:rsidRDefault="00C7250F" w:rsidP="00E76C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3EC491C" w14:textId="77777777" w:rsidR="00C7250F" w:rsidRDefault="00C7250F" w:rsidP="00E76C98"/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CFE1F3"/>
          </w:tcPr>
          <w:p w14:paraId="2ABD9582" w14:textId="30478C37" w:rsidR="00C7250F" w:rsidRDefault="007F5B53" w:rsidP="00E76C98">
            <w:pPr>
              <w:ind w:left="48"/>
              <w:jc w:val="center"/>
            </w:pPr>
            <w:r w:rsidRPr="00BC1890">
              <w:rPr>
                <w:rFonts w:ascii="Arial" w:eastAsia="Arial" w:hAnsi="Arial" w:cs="Arial"/>
                <w:b/>
                <w:sz w:val="18"/>
              </w:rPr>
              <w:t xml:space="preserve">Hoja 1 </w:t>
            </w:r>
            <w:r w:rsidR="00BC1890" w:rsidRPr="00BC1890">
              <w:rPr>
                <w:rFonts w:ascii="Arial" w:eastAsia="Arial" w:hAnsi="Arial" w:cs="Arial"/>
                <w:b/>
                <w:sz w:val="18"/>
              </w:rPr>
              <w:t>de</w:t>
            </w:r>
            <w:r w:rsidR="009E7D94">
              <w:rPr>
                <w:rFonts w:ascii="Arial" w:eastAsia="Arial" w:hAnsi="Arial" w:cs="Arial"/>
                <w:b/>
                <w:sz w:val="18"/>
              </w:rPr>
              <w:t xml:space="preserve"> 2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96297" w14:paraId="348734D3" w14:textId="77777777" w:rsidTr="009E4A54">
        <w:trPr>
          <w:trHeight w:val="463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17870AB" w14:textId="77777777" w:rsidR="00C7250F" w:rsidRDefault="007F5B53" w:rsidP="00B12096">
            <w:pPr>
              <w:spacing w:before="120" w:after="120"/>
              <w:ind w:left="103"/>
            </w:pPr>
            <w:r>
              <w:rPr>
                <w:rFonts w:ascii="Arial" w:eastAsia="Arial" w:hAnsi="Arial" w:cs="Arial"/>
                <w:b/>
              </w:rPr>
              <w:t xml:space="preserve">OBJETIVOS </w:t>
            </w:r>
          </w:p>
        </w:tc>
      </w:tr>
      <w:tr w:rsidR="00F96297" w14:paraId="705B172A" w14:textId="77777777" w:rsidTr="00B12096">
        <w:trPr>
          <w:trHeight w:val="402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26149" w14:textId="45A33D58" w:rsidR="00C7250F" w:rsidRDefault="008F0A29" w:rsidP="00B12096">
            <w:pPr>
              <w:spacing w:before="120" w:after="120"/>
              <w:ind w:left="103"/>
            </w:pPr>
            <w:r w:rsidRPr="00427560">
              <w:rPr>
                <w:rFonts w:ascii="Arial" w:eastAsia="Arial" w:hAnsi="Arial" w:cs="Arial"/>
              </w:rPr>
              <w:t xml:space="preserve">Estandarización del </w:t>
            </w:r>
            <w:r w:rsidR="00B12096">
              <w:rPr>
                <w:rFonts w:ascii="Arial" w:eastAsia="Arial" w:hAnsi="Arial" w:cs="Arial"/>
              </w:rPr>
              <w:t>proceso de</w:t>
            </w:r>
            <w:r w:rsidR="00427560" w:rsidRPr="00427560">
              <w:rPr>
                <w:rFonts w:ascii="Arial" w:eastAsia="Arial" w:hAnsi="Arial" w:cs="Arial"/>
              </w:rPr>
              <w:t xml:space="preserve"> traslado</w:t>
            </w:r>
            <w:r w:rsidRPr="00427560">
              <w:rPr>
                <w:rFonts w:ascii="Arial" w:eastAsia="Arial" w:hAnsi="Arial" w:cs="Arial"/>
              </w:rPr>
              <w:t xml:space="preserve"> intrahospitalario</w:t>
            </w:r>
            <w:r w:rsidR="00427560" w:rsidRPr="00427560">
              <w:rPr>
                <w:rFonts w:ascii="Arial" w:eastAsia="Arial" w:hAnsi="Arial" w:cs="Arial"/>
              </w:rPr>
              <w:t>.</w:t>
            </w:r>
          </w:p>
        </w:tc>
      </w:tr>
      <w:tr w:rsidR="00F96297" w14:paraId="6F69871C" w14:textId="77777777" w:rsidTr="009E4A54">
        <w:trPr>
          <w:trHeight w:val="460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194AACE" w14:textId="77777777" w:rsidR="00C7250F" w:rsidRDefault="007F5B53" w:rsidP="00B12096">
            <w:pPr>
              <w:spacing w:before="120" w:after="120"/>
              <w:ind w:left="103"/>
            </w:pPr>
            <w:r>
              <w:rPr>
                <w:rFonts w:ascii="Arial" w:eastAsia="Arial" w:hAnsi="Arial" w:cs="Arial"/>
                <w:b/>
              </w:rPr>
              <w:t xml:space="preserve">CRITERIOS DE INCLUSION Y EXCLUSIÓN (quien) </w:t>
            </w:r>
          </w:p>
        </w:tc>
      </w:tr>
      <w:tr w:rsidR="00F96297" w14:paraId="18F62181" w14:textId="77777777" w:rsidTr="00B12096">
        <w:trPr>
          <w:trHeight w:val="703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13B20" w14:textId="16F6C4B5" w:rsidR="00C7250F" w:rsidRPr="00B12096" w:rsidRDefault="008F0A29" w:rsidP="00B12096">
            <w:pPr>
              <w:spacing w:before="120" w:after="120"/>
              <w:ind w:left="103"/>
              <w:rPr>
                <w:rFonts w:ascii="Arial" w:eastAsia="Arial" w:hAnsi="Arial" w:cs="Arial"/>
              </w:rPr>
            </w:pPr>
            <w:r w:rsidRPr="00427560">
              <w:rPr>
                <w:rFonts w:ascii="Arial" w:eastAsia="Arial" w:hAnsi="Arial" w:cs="Arial"/>
              </w:rPr>
              <w:t>Pacientes que precisen tras</w:t>
            </w:r>
            <w:r w:rsidR="00B12096">
              <w:rPr>
                <w:rFonts w:ascii="Arial" w:eastAsia="Arial" w:hAnsi="Arial" w:cs="Arial"/>
              </w:rPr>
              <w:t>lado intrahospitalario desde la Unidad de Cuidados I</w:t>
            </w:r>
            <w:r w:rsidRPr="00427560">
              <w:rPr>
                <w:rFonts w:ascii="Arial" w:eastAsia="Arial" w:hAnsi="Arial" w:cs="Arial"/>
              </w:rPr>
              <w:t>ntensivos</w:t>
            </w:r>
            <w:r w:rsidR="00B12096">
              <w:rPr>
                <w:rFonts w:ascii="Arial" w:eastAsia="Arial" w:hAnsi="Arial" w:cs="Arial"/>
              </w:rPr>
              <w:t xml:space="preserve"> de Trauma y Emergencias</w:t>
            </w:r>
            <w:r w:rsidRPr="00427560">
              <w:rPr>
                <w:rFonts w:ascii="Arial" w:eastAsia="Arial" w:hAnsi="Arial" w:cs="Arial"/>
              </w:rPr>
              <w:t xml:space="preserve">, </w:t>
            </w:r>
            <w:r w:rsidR="00B12096">
              <w:rPr>
                <w:rFonts w:ascii="Arial" w:eastAsia="Arial" w:hAnsi="Arial" w:cs="Arial"/>
              </w:rPr>
              <w:t>en concreto desde el Box de Atención Inicial (BAI) al trauma grave</w:t>
            </w:r>
            <w:r w:rsidRPr="00427560">
              <w:rPr>
                <w:rFonts w:ascii="Arial" w:eastAsia="Arial" w:hAnsi="Arial" w:cs="Arial"/>
              </w:rPr>
              <w:t>.</w:t>
            </w:r>
          </w:p>
        </w:tc>
      </w:tr>
      <w:tr w:rsidR="00F96297" w14:paraId="7729470D" w14:textId="77777777" w:rsidTr="009E4A54">
        <w:trPr>
          <w:trHeight w:val="459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D7D7"/>
            <w:vAlign w:val="center"/>
          </w:tcPr>
          <w:p w14:paraId="42EC1D35" w14:textId="77777777" w:rsidR="00C7250F" w:rsidRDefault="007F5B53" w:rsidP="00B12096">
            <w:pPr>
              <w:spacing w:before="120" w:after="120"/>
              <w:ind w:left="103"/>
            </w:pPr>
            <w:r>
              <w:rPr>
                <w:rFonts w:ascii="Arial" w:eastAsia="Arial" w:hAnsi="Arial" w:cs="Arial"/>
                <w:b/>
              </w:rPr>
              <w:t xml:space="preserve">JUSTIFICACIÓN (por qué́) </w:t>
            </w:r>
          </w:p>
        </w:tc>
      </w:tr>
      <w:tr w:rsidR="00F96297" w14:paraId="4E85C354" w14:textId="77777777" w:rsidTr="009E4A54">
        <w:trPr>
          <w:trHeight w:val="459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A75A69E" w14:textId="36A5B0C3" w:rsidR="00427560" w:rsidRDefault="00B12096" w:rsidP="00B12096">
            <w:pPr>
              <w:spacing w:before="120" w:after="120"/>
              <w:ind w:left="103" w:right="89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A</w:t>
            </w:r>
            <w:r w:rsidR="00427560" w:rsidRPr="00427560">
              <w:rPr>
                <w:rFonts w:ascii="Arial" w:eastAsia="Arial" w:hAnsi="Arial" w:cs="Arial"/>
              </w:rPr>
              <w:t xml:space="preserve">nte la situación de traslado al nuevo edificio del Hospital 12 de octubre y la reorganización de las unidades de Cuidados Críticos, es preciso unificar criterios y procedimientos. </w:t>
            </w:r>
            <w:r>
              <w:rPr>
                <w:rFonts w:ascii="Arial" w:eastAsia="Arial" w:hAnsi="Arial" w:cs="Arial"/>
              </w:rPr>
              <w:t xml:space="preserve">Por ello se estandariza el proceso de traslado intrahospitalario de pacientes. En concreto, este </w:t>
            </w:r>
            <w:proofErr w:type="spellStart"/>
            <w:r>
              <w:rPr>
                <w:rFonts w:ascii="Arial" w:eastAsia="Arial" w:hAnsi="Arial" w:cs="Arial"/>
              </w:rPr>
              <w:t>miniprotocolo</w:t>
            </w:r>
            <w:proofErr w:type="spellEnd"/>
            <w:r>
              <w:rPr>
                <w:rFonts w:ascii="Arial" w:eastAsia="Arial" w:hAnsi="Arial" w:cs="Arial"/>
              </w:rPr>
              <w:t xml:space="preserve"> se centrará en el BAI por la complejidad que este tipo de pacientes presentan.</w:t>
            </w:r>
          </w:p>
        </w:tc>
      </w:tr>
      <w:tr w:rsidR="00F96297" w14:paraId="57953C16" w14:textId="77777777" w:rsidTr="009E4A54">
        <w:trPr>
          <w:trHeight w:val="499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14:paraId="25981CCA" w14:textId="4FB964DC" w:rsidR="00C7250F" w:rsidRPr="00B12096" w:rsidRDefault="007F5B53" w:rsidP="00B12096">
            <w:pPr>
              <w:spacing w:before="120" w:after="120"/>
              <w:ind w:left="103"/>
              <w:rPr>
                <w:rFonts w:ascii="Arial" w:eastAsia="Arial" w:hAnsi="Arial" w:cs="Arial"/>
                <w:b/>
                <w:szCs w:val="22"/>
              </w:rPr>
            </w:pPr>
            <w:r w:rsidRPr="00B12096">
              <w:rPr>
                <w:rFonts w:ascii="Arial" w:eastAsia="Arial" w:hAnsi="Arial" w:cs="Arial"/>
                <w:b/>
                <w:szCs w:val="22"/>
              </w:rPr>
              <w:t xml:space="preserve">DESARROLLO (qué y cómo) </w:t>
            </w:r>
          </w:p>
        </w:tc>
      </w:tr>
      <w:tr w:rsidR="00F96297" w14:paraId="23B7AC3B" w14:textId="77777777" w:rsidTr="009E4A54">
        <w:trPr>
          <w:trHeight w:val="499"/>
        </w:trPr>
        <w:tc>
          <w:tcPr>
            <w:tcW w:w="979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144B905" w14:textId="24E4C0AC" w:rsidR="00B12096" w:rsidRPr="00B12096" w:rsidRDefault="00B23372" w:rsidP="00B23372">
            <w:pPr>
              <w:spacing w:before="120"/>
              <w:ind w:left="103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Recursos humanos</w:t>
            </w:r>
            <w:r w:rsidR="00B12096" w:rsidRPr="00B12096">
              <w:rPr>
                <w:rFonts w:ascii="Arial" w:eastAsia="Arial" w:hAnsi="Arial" w:cs="Arial"/>
                <w:b/>
                <w:szCs w:val="22"/>
              </w:rPr>
              <w:t>:</w:t>
            </w:r>
          </w:p>
          <w:p w14:paraId="2E02A6CA" w14:textId="5EAD5FED" w:rsidR="00B12096" w:rsidRPr="00B12096" w:rsidRDefault="00B12096" w:rsidP="00B23372">
            <w:pPr>
              <w:pStyle w:val="Prrafodelista"/>
              <w:numPr>
                <w:ilvl w:val="0"/>
                <w:numId w:val="8"/>
              </w:numPr>
              <w:spacing w:after="120"/>
              <w:rPr>
                <w:rFonts w:ascii="Arial" w:eastAsia="Arial" w:hAnsi="Arial" w:cs="Arial"/>
                <w:b/>
                <w:szCs w:val="22"/>
              </w:rPr>
            </w:pPr>
            <w:r w:rsidRPr="00B12096">
              <w:rPr>
                <w:rFonts w:ascii="Arial" w:eastAsia="Arial" w:hAnsi="Arial" w:cs="Arial"/>
                <w:szCs w:val="22"/>
              </w:rPr>
              <w:t>Médico adjunto</w:t>
            </w:r>
            <w:r w:rsidR="00B23372">
              <w:rPr>
                <w:rFonts w:ascii="Arial" w:eastAsia="Arial" w:hAnsi="Arial" w:cs="Arial"/>
                <w:szCs w:val="22"/>
              </w:rPr>
              <w:t>:</w:t>
            </w:r>
            <w:r w:rsidRPr="00B12096">
              <w:rPr>
                <w:rFonts w:ascii="Arial" w:eastAsia="Arial" w:hAnsi="Arial" w:cs="Arial"/>
                <w:szCs w:val="22"/>
              </w:rPr>
              <w:t xml:space="preserve"> como líder situacional</w:t>
            </w:r>
            <w:r w:rsidR="00C263F8">
              <w:rPr>
                <w:rFonts w:ascii="Arial" w:eastAsia="Arial" w:hAnsi="Arial" w:cs="Arial"/>
                <w:szCs w:val="22"/>
              </w:rPr>
              <w:t>.</w:t>
            </w:r>
            <w:r w:rsidR="00AB59D2">
              <w:rPr>
                <w:rFonts w:ascii="Arial" w:eastAsia="Arial" w:hAnsi="Arial" w:cs="Arial"/>
                <w:szCs w:val="22"/>
              </w:rPr>
              <w:t xml:space="preserve"> Coordina el traslado y se comunica con el servicio de destino.</w:t>
            </w:r>
          </w:p>
          <w:p w14:paraId="759B55E6" w14:textId="70AE022E" w:rsidR="00B12096" w:rsidRPr="00B12096" w:rsidRDefault="00B12096" w:rsidP="00B12096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Médico residente</w:t>
            </w:r>
            <w:r w:rsidR="001D628A">
              <w:rPr>
                <w:rFonts w:ascii="Arial" w:eastAsia="Arial" w:hAnsi="Arial" w:cs="Arial"/>
                <w:szCs w:val="22"/>
              </w:rPr>
              <w:t>: responsable de historia clínica en papel del paciente.</w:t>
            </w:r>
          </w:p>
          <w:p w14:paraId="44DE4A2C" w14:textId="712F6E3D" w:rsidR="00B12096" w:rsidRPr="00B12096" w:rsidRDefault="00B12096" w:rsidP="00B12096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Enfermera A</w:t>
            </w:r>
            <w:r w:rsidR="00DF1970">
              <w:rPr>
                <w:rFonts w:ascii="Arial" w:eastAsia="Arial" w:hAnsi="Arial" w:cs="Arial"/>
                <w:szCs w:val="22"/>
              </w:rPr>
              <w:t>: continúa en la cabeza del paciente y guiará todas las transferencias durante el traslado.</w:t>
            </w:r>
            <w:r w:rsidR="001D628A">
              <w:rPr>
                <w:rFonts w:ascii="Arial" w:eastAsia="Arial" w:hAnsi="Arial" w:cs="Arial"/>
                <w:szCs w:val="22"/>
              </w:rPr>
              <w:t xml:space="preserve"> Responsable de medicación de traslado.</w:t>
            </w:r>
          </w:p>
          <w:p w14:paraId="2B922120" w14:textId="3B324C27" w:rsidR="00B12096" w:rsidRPr="00B12096" w:rsidRDefault="00B23372" w:rsidP="00B12096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Técnico en cuidados de enfermería</w:t>
            </w:r>
            <w:r w:rsidR="00B12096">
              <w:rPr>
                <w:rFonts w:ascii="Arial" w:eastAsia="Arial" w:hAnsi="Arial" w:cs="Arial"/>
                <w:szCs w:val="22"/>
              </w:rPr>
              <w:t xml:space="preserve"> de ingreso</w:t>
            </w:r>
            <w:r w:rsidR="001D628A">
              <w:rPr>
                <w:rFonts w:ascii="Arial" w:eastAsia="Arial" w:hAnsi="Arial" w:cs="Arial"/>
                <w:szCs w:val="22"/>
              </w:rPr>
              <w:t xml:space="preserve">: Responsable de </w:t>
            </w:r>
            <w:proofErr w:type="spellStart"/>
            <w:r w:rsidR="001D628A">
              <w:rPr>
                <w:rFonts w:ascii="Arial" w:eastAsia="Arial" w:hAnsi="Arial" w:cs="Arial"/>
                <w:szCs w:val="22"/>
              </w:rPr>
              <w:t>ambú</w:t>
            </w:r>
            <w:proofErr w:type="spellEnd"/>
            <w:r w:rsidR="001D628A">
              <w:rPr>
                <w:rFonts w:ascii="Arial" w:eastAsia="Arial" w:hAnsi="Arial" w:cs="Arial"/>
                <w:szCs w:val="22"/>
              </w:rPr>
              <w:t xml:space="preserve"> y mochila de traslado.</w:t>
            </w:r>
          </w:p>
          <w:p w14:paraId="6CC177E6" w14:textId="109FD1D5" w:rsidR="00B12096" w:rsidRPr="00B12096" w:rsidRDefault="00B12096" w:rsidP="00B12096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>2 celadores</w:t>
            </w:r>
            <w:r w:rsidR="00C263F8">
              <w:rPr>
                <w:rFonts w:ascii="Arial" w:eastAsia="Arial" w:hAnsi="Arial" w:cs="Arial"/>
                <w:szCs w:val="22"/>
              </w:rPr>
              <w:t>.</w:t>
            </w:r>
          </w:p>
          <w:p w14:paraId="5B9DD622" w14:textId="56D0A9BC" w:rsidR="00B12096" w:rsidRPr="00B12096" w:rsidRDefault="00B12096" w:rsidP="00B12096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szCs w:val="22"/>
              </w:rPr>
              <w:t xml:space="preserve">Se valorará la necesidad de otra enfermera </w:t>
            </w:r>
            <w:r w:rsidR="00DF1970">
              <w:rPr>
                <w:rFonts w:ascii="Arial" w:eastAsia="Arial" w:hAnsi="Arial" w:cs="Arial"/>
                <w:szCs w:val="22"/>
              </w:rPr>
              <w:t xml:space="preserve">(B/C) </w:t>
            </w:r>
            <w:r>
              <w:rPr>
                <w:rFonts w:ascii="Arial" w:eastAsia="Arial" w:hAnsi="Arial" w:cs="Arial"/>
                <w:szCs w:val="22"/>
              </w:rPr>
              <w:t xml:space="preserve">si el paciente está inestable </w:t>
            </w:r>
            <w:proofErr w:type="spellStart"/>
            <w:r>
              <w:rPr>
                <w:rFonts w:ascii="Arial" w:eastAsia="Arial" w:hAnsi="Arial" w:cs="Arial"/>
                <w:szCs w:val="22"/>
              </w:rPr>
              <w:t>hemodinámicamente</w:t>
            </w:r>
            <w:proofErr w:type="spellEnd"/>
            <w:r>
              <w:rPr>
                <w:rFonts w:ascii="Arial" w:eastAsia="Arial" w:hAnsi="Arial" w:cs="Arial"/>
                <w:szCs w:val="22"/>
              </w:rPr>
              <w:t xml:space="preserve"> o precisa protocolo de </w:t>
            </w:r>
            <w:r w:rsidR="00A338BC">
              <w:rPr>
                <w:rFonts w:ascii="Arial" w:eastAsia="Arial" w:hAnsi="Arial" w:cs="Arial"/>
                <w:szCs w:val="22"/>
              </w:rPr>
              <w:t>hemorragia</w:t>
            </w:r>
            <w:r>
              <w:rPr>
                <w:rFonts w:ascii="Arial" w:eastAsia="Arial" w:hAnsi="Arial" w:cs="Arial"/>
                <w:szCs w:val="22"/>
              </w:rPr>
              <w:t xml:space="preserve"> masiva (P</w:t>
            </w:r>
            <w:r w:rsidR="00A338BC">
              <w:rPr>
                <w:rFonts w:ascii="Arial" w:eastAsia="Arial" w:hAnsi="Arial" w:cs="Arial"/>
                <w:szCs w:val="22"/>
              </w:rPr>
              <w:t>H</w:t>
            </w:r>
            <w:r>
              <w:rPr>
                <w:rFonts w:ascii="Arial" w:eastAsia="Arial" w:hAnsi="Arial" w:cs="Arial"/>
                <w:szCs w:val="22"/>
              </w:rPr>
              <w:t>M)</w:t>
            </w:r>
            <w:r w:rsidR="00DF1970">
              <w:rPr>
                <w:rFonts w:ascii="Arial" w:eastAsia="Arial" w:hAnsi="Arial" w:cs="Arial"/>
                <w:szCs w:val="22"/>
              </w:rPr>
              <w:t xml:space="preserve"> y </w:t>
            </w:r>
            <w:r w:rsidR="00C263F8">
              <w:rPr>
                <w:rFonts w:ascii="Arial" w:eastAsia="Arial" w:hAnsi="Arial" w:cs="Arial"/>
                <w:szCs w:val="22"/>
              </w:rPr>
              <w:t xml:space="preserve">siempre </w:t>
            </w:r>
            <w:r w:rsidR="00DF1970">
              <w:rPr>
                <w:rFonts w:ascii="Arial" w:eastAsia="Arial" w:hAnsi="Arial" w:cs="Arial"/>
                <w:szCs w:val="22"/>
              </w:rPr>
              <w:t>teniendo en cuenta la situación de la unidad.</w:t>
            </w:r>
          </w:p>
          <w:p w14:paraId="438C8020" w14:textId="5011656E" w:rsidR="00427560" w:rsidRPr="00B12096" w:rsidRDefault="00B23372" w:rsidP="00B23372">
            <w:pPr>
              <w:spacing w:before="120"/>
              <w:ind w:left="103"/>
              <w:rPr>
                <w:rFonts w:ascii="Arial" w:eastAsia="Arial" w:hAnsi="Arial" w:cs="Arial"/>
                <w:b/>
                <w:szCs w:val="22"/>
              </w:rPr>
            </w:pPr>
            <w:r>
              <w:rPr>
                <w:rFonts w:ascii="Arial" w:eastAsia="Arial" w:hAnsi="Arial" w:cs="Arial"/>
                <w:b/>
                <w:szCs w:val="22"/>
              </w:rPr>
              <w:t>Recursos materiales</w:t>
            </w:r>
            <w:r w:rsidR="00B12096" w:rsidRPr="00B12096">
              <w:rPr>
                <w:rFonts w:ascii="Arial" w:eastAsia="Arial" w:hAnsi="Arial" w:cs="Arial"/>
                <w:b/>
                <w:szCs w:val="22"/>
              </w:rPr>
              <w:t>:</w:t>
            </w:r>
          </w:p>
          <w:p w14:paraId="77B2827F" w14:textId="55D990DD" w:rsidR="00BF33FF" w:rsidRPr="00B12096" w:rsidRDefault="00B12096" w:rsidP="00B23372">
            <w:pPr>
              <w:pStyle w:val="Prrafode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E76C98">
              <w:rPr>
                <w:rFonts w:ascii="Arial" w:hAnsi="Arial" w:cs="Arial"/>
                <w:b/>
                <w:color w:val="000000" w:themeColor="text1"/>
                <w:szCs w:val="22"/>
              </w:rPr>
              <w:t>Monitor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de signos vitales</w:t>
            </w:r>
            <w:r w:rsidR="00DF1970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417C0DE7" w14:textId="665B70D5" w:rsidR="00B12096" w:rsidRPr="00B12096" w:rsidRDefault="00B12096" w:rsidP="00B12096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E76C98">
              <w:rPr>
                <w:rFonts w:ascii="Arial" w:hAnsi="Arial" w:cs="Arial"/>
                <w:b/>
                <w:color w:val="000000" w:themeColor="text1"/>
                <w:szCs w:val="22"/>
              </w:rPr>
              <w:t>Bala de oxígeno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con conexión al ventilador portátil</w:t>
            </w:r>
            <w:r w:rsidR="00DF1970">
              <w:rPr>
                <w:rFonts w:ascii="Arial" w:hAnsi="Arial" w:cs="Arial"/>
                <w:color w:val="000000" w:themeColor="text1"/>
                <w:szCs w:val="22"/>
              </w:rPr>
              <w:t xml:space="preserve"> y </w:t>
            </w:r>
            <w:r w:rsidR="00B23372">
              <w:rPr>
                <w:rFonts w:ascii="Arial" w:hAnsi="Arial" w:cs="Arial"/>
                <w:color w:val="000000" w:themeColor="text1"/>
                <w:szCs w:val="22"/>
              </w:rPr>
              <w:t>comprobando</w:t>
            </w:r>
            <w:r w:rsidR="00DF1970">
              <w:rPr>
                <w:rFonts w:ascii="Arial" w:hAnsi="Arial" w:cs="Arial"/>
                <w:color w:val="000000" w:themeColor="text1"/>
                <w:szCs w:val="22"/>
              </w:rPr>
              <w:t xml:space="preserve"> su capacidad restante.</w:t>
            </w:r>
          </w:p>
          <w:p w14:paraId="55523C31" w14:textId="6B2092B2" w:rsidR="00BF33FF" w:rsidRPr="00B12096" w:rsidRDefault="00BF33FF" w:rsidP="00B12096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B12096">
              <w:rPr>
                <w:rFonts w:ascii="Arial" w:hAnsi="Arial" w:cs="Arial"/>
                <w:color w:val="000000" w:themeColor="text1"/>
                <w:szCs w:val="22"/>
              </w:rPr>
              <w:lastRenderedPageBreak/>
              <w:t xml:space="preserve">Balón de reanimación manual con bolsa </w:t>
            </w:r>
            <w:proofErr w:type="spellStart"/>
            <w:r w:rsidRPr="00B12096">
              <w:rPr>
                <w:rFonts w:ascii="Arial" w:hAnsi="Arial" w:cs="Arial"/>
                <w:color w:val="000000" w:themeColor="text1"/>
                <w:szCs w:val="22"/>
              </w:rPr>
              <w:t>auto-hinchable</w:t>
            </w:r>
            <w:proofErr w:type="spellEnd"/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(</w:t>
            </w:r>
            <w:proofErr w:type="spellStart"/>
            <w:r w:rsidRPr="00E76C98">
              <w:rPr>
                <w:rFonts w:ascii="Arial" w:hAnsi="Arial" w:cs="Arial"/>
                <w:b/>
                <w:color w:val="000000" w:themeColor="text1"/>
                <w:szCs w:val="22"/>
              </w:rPr>
              <w:t>Ambú</w:t>
            </w:r>
            <w:proofErr w:type="spellEnd"/>
            <w:r w:rsidR="00B12096" w:rsidRPr="00B12096">
              <w:rPr>
                <w:rFonts w:ascii="Arial" w:hAnsi="Arial" w:cs="Arial"/>
                <w:color w:val="000000" w:themeColor="text1"/>
                <w:szCs w:val="22"/>
              </w:rPr>
              <w:t>®) con: m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>ascarilla</w:t>
            </w:r>
            <w:r w:rsidR="00B12096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de tamaño adecuado según el paciente</w:t>
            </w:r>
            <w:r w:rsidR="00B12096" w:rsidRPr="00B12096">
              <w:rPr>
                <w:rFonts w:ascii="Arial" w:eastAsia="Arial" w:hAnsi="Arial" w:cs="Arial"/>
                <w:color w:val="000000" w:themeColor="text1"/>
                <w:szCs w:val="22"/>
              </w:rPr>
              <w:t>, f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iltro antimicrobiano </w:t>
            </w:r>
            <w:r w:rsidR="00B12096" w:rsidRPr="00B12096">
              <w:rPr>
                <w:rFonts w:ascii="Arial" w:hAnsi="Arial" w:cs="Arial"/>
                <w:color w:val="000000" w:themeColor="text1"/>
                <w:szCs w:val="22"/>
              </w:rPr>
              <w:t>y a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>largadera</w:t>
            </w:r>
            <w:r w:rsidR="0069609A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de oxígeno</w:t>
            </w:r>
            <w:r w:rsidR="00B12096" w:rsidRPr="00B12096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2085A1CB" w14:textId="76C05C20" w:rsidR="00BF33FF" w:rsidRPr="00B12096" w:rsidRDefault="00BF33FF" w:rsidP="00B12096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B12096">
              <w:rPr>
                <w:rFonts w:ascii="Arial" w:hAnsi="Arial" w:cs="Arial"/>
                <w:color w:val="000000" w:themeColor="text1"/>
                <w:szCs w:val="22"/>
              </w:rPr>
              <w:t>V</w:t>
            </w:r>
            <w:r w:rsidR="00E6084F" w:rsidRPr="00B12096">
              <w:rPr>
                <w:rFonts w:ascii="Arial" w:hAnsi="Arial" w:cs="Arial"/>
                <w:color w:val="000000" w:themeColor="text1"/>
                <w:szCs w:val="22"/>
              </w:rPr>
              <w:t>entilado</w:t>
            </w:r>
            <w:r w:rsidR="00C66FF4" w:rsidRPr="00B12096">
              <w:rPr>
                <w:rFonts w:ascii="Arial" w:hAnsi="Arial" w:cs="Arial"/>
                <w:color w:val="000000" w:themeColor="text1"/>
                <w:szCs w:val="22"/>
              </w:rPr>
              <w:t>r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portátil con su circuito y filtro </w:t>
            </w:r>
            <w:r w:rsidR="00624DD0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antimicrobiano </w:t>
            </w:r>
            <w:r w:rsidR="00B12096" w:rsidRPr="00B12096">
              <w:rPr>
                <w:rFonts w:ascii="Arial" w:hAnsi="Arial" w:cs="Arial"/>
                <w:color w:val="000000" w:themeColor="text1"/>
                <w:szCs w:val="22"/>
              </w:rPr>
              <w:t>(s/p)</w:t>
            </w:r>
            <w:r w:rsidR="00B23372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45C63A52" w14:textId="6570487D" w:rsidR="001E502E" w:rsidRPr="00B12096" w:rsidRDefault="001E502E" w:rsidP="00B12096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B23372">
              <w:rPr>
                <w:rFonts w:ascii="Arial" w:hAnsi="Arial" w:cs="Arial"/>
                <w:color w:val="000000" w:themeColor="text1"/>
                <w:szCs w:val="22"/>
              </w:rPr>
              <w:t>Batea con</w:t>
            </w:r>
            <w:r w:rsidRPr="00E76C98">
              <w:rPr>
                <w:rFonts w:ascii="Arial" w:hAnsi="Arial" w:cs="Arial"/>
                <w:b/>
                <w:color w:val="000000" w:themeColor="text1"/>
                <w:szCs w:val="22"/>
              </w:rPr>
              <w:t xml:space="preserve"> medicación</w:t>
            </w:r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según la situación del paciente</w:t>
            </w:r>
            <w:r w:rsidR="000D2146" w:rsidRPr="00B12096">
              <w:rPr>
                <w:rFonts w:ascii="Arial" w:hAnsi="Arial" w:cs="Arial"/>
                <w:color w:val="000000" w:themeColor="text1"/>
                <w:szCs w:val="22"/>
              </w:rPr>
              <w:t>. Mínimo recomendable:</w:t>
            </w:r>
            <w:r w:rsidR="008E1D56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Fentanilo,</w:t>
            </w:r>
            <w:r w:rsidR="000D2146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Midazolam,</w:t>
            </w:r>
            <w:r w:rsidR="00215078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Atropina, Adrenalina. </w:t>
            </w:r>
            <w:proofErr w:type="spellStart"/>
            <w:r w:rsidR="00215078" w:rsidRPr="00B12096">
              <w:rPr>
                <w:rFonts w:ascii="Arial" w:hAnsi="Arial" w:cs="Arial"/>
                <w:color w:val="000000" w:themeColor="text1"/>
                <w:szCs w:val="22"/>
              </w:rPr>
              <w:t>Cisatracurio</w:t>
            </w:r>
            <w:proofErr w:type="spellEnd"/>
            <w:r w:rsidR="00215078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si paciente intubado.</w:t>
            </w:r>
            <w:r w:rsidR="00B23372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 w:rsidR="00AB59D2">
              <w:rPr>
                <w:rFonts w:ascii="Arial" w:hAnsi="Arial" w:cs="Arial"/>
                <w:color w:val="000000" w:themeColor="text1"/>
                <w:szCs w:val="22"/>
              </w:rPr>
              <w:t>Medicación en bomba: drogas vasoactivas y ácido tranexámico.</w:t>
            </w:r>
          </w:p>
          <w:p w14:paraId="10C5BA3F" w14:textId="040BB0CC" w:rsidR="003A2687" w:rsidRDefault="00672C1E" w:rsidP="00B12096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B12096">
              <w:rPr>
                <w:rFonts w:ascii="Arial" w:hAnsi="Arial" w:cs="Arial"/>
                <w:color w:val="000000" w:themeColor="text1"/>
                <w:szCs w:val="22"/>
              </w:rPr>
              <w:t>Historia clínica física del paciente (s/p)</w:t>
            </w:r>
          </w:p>
          <w:p w14:paraId="4F8A337D" w14:textId="51BB1AD0" w:rsidR="00DF1970" w:rsidRDefault="00DF1970" w:rsidP="00B12096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A967EC">
              <w:rPr>
                <w:rFonts w:ascii="Arial" w:hAnsi="Arial" w:cs="Arial"/>
                <w:b/>
                <w:color w:val="000000" w:themeColor="text1"/>
                <w:szCs w:val="22"/>
              </w:rPr>
              <w:t>Mochila de traslado intrahospitalario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: Para ver su contenido ver </w:t>
            </w:r>
            <w:r w:rsidR="00E65BD0">
              <w:rPr>
                <w:rFonts w:ascii="Arial" w:hAnsi="Arial" w:cs="Arial"/>
                <w:color w:val="000000" w:themeColor="text1"/>
                <w:szCs w:val="22"/>
              </w:rPr>
              <w:t>“</w:t>
            </w:r>
            <w:r w:rsidR="00AB59D2" w:rsidRPr="00AB59D2">
              <w:rPr>
                <w:rFonts w:ascii="Arial" w:hAnsi="Arial" w:cs="Arial"/>
                <w:i/>
                <w:color w:val="000000" w:themeColor="text1"/>
                <w:szCs w:val="22"/>
              </w:rPr>
              <w:t>Protocolo mochila de</w:t>
            </w:r>
            <w:r w:rsidR="001D628A" w:rsidRPr="00AB59D2">
              <w:rPr>
                <w:rFonts w:ascii="Arial" w:hAnsi="Arial" w:cs="Arial"/>
                <w:i/>
                <w:color w:val="000000" w:themeColor="text1"/>
                <w:szCs w:val="22"/>
              </w:rPr>
              <w:t xml:space="preserve"> </w:t>
            </w:r>
            <w:r w:rsidR="00AB59D2" w:rsidRPr="00AB59D2">
              <w:rPr>
                <w:rFonts w:ascii="Arial" w:hAnsi="Arial" w:cs="Arial"/>
                <w:i/>
                <w:color w:val="000000" w:themeColor="text1"/>
                <w:szCs w:val="22"/>
              </w:rPr>
              <w:t>traslado intrahospitalari</w:t>
            </w:r>
            <w:r w:rsidR="00AB59D2">
              <w:rPr>
                <w:rFonts w:ascii="Arial" w:hAnsi="Arial" w:cs="Arial"/>
                <w:color w:val="000000" w:themeColor="text1"/>
                <w:szCs w:val="22"/>
              </w:rPr>
              <w:t>o</w:t>
            </w:r>
            <w:r w:rsidR="00E65BD0">
              <w:rPr>
                <w:rFonts w:ascii="Arial" w:hAnsi="Arial" w:cs="Arial"/>
                <w:color w:val="000000" w:themeColor="text1"/>
                <w:szCs w:val="22"/>
              </w:rPr>
              <w:t>”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149F1584" w14:textId="532ADDEE" w:rsidR="00E76C98" w:rsidRPr="00E76C98" w:rsidRDefault="00E76C98" w:rsidP="00E76C98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B12096">
              <w:rPr>
                <w:rFonts w:ascii="Arial" w:hAnsi="Arial" w:cs="Arial"/>
                <w:color w:val="000000" w:themeColor="text1"/>
                <w:szCs w:val="22"/>
              </w:rPr>
              <w:t>Desfibrilador manual con palas desechables (s/p)</w:t>
            </w:r>
          </w:p>
          <w:p w14:paraId="036E9D59" w14:textId="44EE6C5B" w:rsidR="001B721C" w:rsidRDefault="001B721C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Todo </w:t>
            </w:r>
            <w:r w:rsidR="00CE7556" w:rsidRPr="00B12096">
              <w:rPr>
                <w:rFonts w:ascii="Arial" w:hAnsi="Arial" w:cs="Arial"/>
                <w:color w:val="000000" w:themeColor="text1"/>
                <w:szCs w:val="22"/>
              </w:rPr>
              <w:t>material útil para cada caso individualizable y que no esté dentro de</w:t>
            </w:r>
            <w:r w:rsidR="00C24890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la mochila de </w:t>
            </w:r>
            <w:r w:rsidR="00E76C98">
              <w:rPr>
                <w:rFonts w:ascii="Arial" w:hAnsi="Arial" w:cs="Arial"/>
                <w:color w:val="000000" w:themeColor="text1"/>
                <w:szCs w:val="22"/>
              </w:rPr>
              <w:t>traslado</w:t>
            </w:r>
            <w:r w:rsidR="00C24890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; a consensuar </w:t>
            </w:r>
            <w:r w:rsidR="00DF1970">
              <w:rPr>
                <w:rFonts w:ascii="Arial" w:hAnsi="Arial" w:cs="Arial"/>
                <w:color w:val="000000" w:themeColor="text1"/>
                <w:szCs w:val="22"/>
              </w:rPr>
              <w:t>dentro del</w:t>
            </w:r>
            <w:r w:rsidR="00C24890" w:rsidRPr="00B12096">
              <w:rPr>
                <w:rFonts w:ascii="Arial" w:hAnsi="Arial" w:cs="Arial"/>
                <w:color w:val="000000" w:themeColor="text1"/>
                <w:szCs w:val="22"/>
              </w:rPr>
              <w:t xml:space="preserve"> equipo </w:t>
            </w:r>
            <w:r w:rsidR="00DF1970">
              <w:rPr>
                <w:rFonts w:ascii="Arial" w:hAnsi="Arial" w:cs="Arial"/>
                <w:color w:val="000000" w:themeColor="text1"/>
                <w:szCs w:val="22"/>
              </w:rPr>
              <w:t>de atención inicial</w:t>
            </w:r>
            <w:r w:rsidR="00C24890" w:rsidRPr="00B12096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09BFA725" w14:textId="2F5F351C" w:rsidR="00D94D68" w:rsidRDefault="00D94D68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D94D68">
              <w:rPr>
                <w:rFonts w:ascii="Arial" w:hAnsi="Arial" w:cs="Arial"/>
                <w:b/>
                <w:color w:val="000000" w:themeColor="text1"/>
                <w:szCs w:val="22"/>
              </w:rPr>
              <w:t>Material de inmovilización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: camilla de cuchara, colchón de vacío, collarín cervical, férulas, etc. Según precise el paciente.</w:t>
            </w:r>
          </w:p>
          <w:p w14:paraId="7474D2B0" w14:textId="7F216E1D" w:rsidR="00DF1970" w:rsidRPr="00DF1970" w:rsidRDefault="00B23372" w:rsidP="00B23372">
            <w:pPr>
              <w:spacing w:before="120"/>
              <w:ind w:left="102"/>
              <w:rPr>
                <w:rFonts w:ascii="Arial" w:hAnsi="Arial" w:cs="Arial"/>
                <w:b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Cs w:val="22"/>
              </w:rPr>
              <w:t>Consideraciones</w:t>
            </w:r>
            <w:r w:rsidR="00DF1970" w:rsidRPr="00DF1970">
              <w:rPr>
                <w:rFonts w:ascii="Arial" w:hAnsi="Arial" w:cs="Arial"/>
                <w:b/>
                <w:color w:val="000000" w:themeColor="text1"/>
                <w:szCs w:val="22"/>
              </w:rPr>
              <w:t>:</w:t>
            </w:r>
          </w:p>
          <w:p w14:paraId="000D7219" w14:textId="08B07CE4" w:rsidR="00DF1970" w:rsidRDefault="00DF1970" w:rsidP="00B23372">
            <w:pPr>
              <w:pStyle w:val="Prrafodelista"/>
              <w:numPr>
                <w:ilvl w:val="0"/>
                <w:numId w:val="5"/>
              </w:numPr>
              <w:spacing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 xml:space="preserve">El paciente debe de ir correctamente identificado con su </w:t>
            </w:r>
            <w:r w:rsidRPr="001D628A">
              <w:rPr>
                <w:rFonts w:ascii="Arial" w:hAnsi="Arial" w:cs="Arial"/>
                <w:b/>
                <w:color w:val="000000" w:themeColor="text1"/>
                <w:szCs w:val="22"/>
              </w:rPr>
              <w:t>pulsera de identificación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 y con su pulsera de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2"/>
              </w:rPr>
              <w:t>hemocod</w:t>
            </w:r>
            <w:proofErr w:type="spellEnd"/>
            <w:r w:rsidR="00B23372">
              <w:rPr>
                <w:rFonts w:ascii="Arial" w:hAnsi="Arial" w:cs="Arial"/>
                <w:color w:val="000000" w:themeColor="text1"/>
                <w:szCs w:val="22"/>
              </w:rPr>
              <w:t xml:space="preserve"> en las extremidades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. Evitar llevar </w:t>
            </w:r>
            <w:r w:rsidR="00E76C98">
              <w:rPr>
                <w:rFonts w:ascii="Arial" w:hAnsi="Arial" w:cs="Arial"/>
                <w:color w:val="000000" w:themeColor="text1"/>
                <w:szCs w:val="22"/>
              </w:rPr>
              <w:t xml:space="preserve">las pulseras en el sobre,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batea, encima de la camilla, etc.</w:t>
            </w:r>
          </w:p>
          <w:p w14:paraId="6BCE1958" w14:textId="12867638" w:rsidR="00DF1970" w:rsidRDefault="001D628A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 xml:space="preserve">Adecuada y cuidadosa colocación de las maletas de drenajes </w:t>
            </w:r>
            <w:proofErr w:type="spellStart"/>
            <w:r>
              <w:rPr>
                <w:rFonts w:ascii="Arial" w:hAnsi="Arial" w:cs="Arial"/>
                <w:color w:val="000000" w:themeColor="text1"/>
                <w:szCs w:val="22"/>
              </w:rPr>
              <w:t>endotorácicos</w:t>
            </w:r>
            <w:proofErr w:type="spellEnd"/>
            <w:r>
              <w:rPr>
                <w:rFonts w:ascii="Arial" w:hAnsi="Arial" w:cs="Arial"/>
                <w:color w:val="000000" w:themeColor="text1"/>
                <w:szCs w:val="22"/>
              </w:rPr>
              <w:t xml:space="preserve"> por riesgo de volcado, desconexión o extracción accidental durante el traslado.</w:t>
            </w:r>
            <w:r w:rsidR="00E76C98">
              <w:rPr>
                <w:rFonts w:ascii="Arial" w:hAnsi="Arial" w:cs="Arial"/>
                <w:color w:val="000000" w:themeColor="text1"/>
                <w:szCs w:val="22"/>
              </w:rPr>
              <w:t xml:space="preserve"> Llevaremos los sistemas de aspiración para mantener la presión negativa durante las pruebas de imagen.</w:t>
            </w:r>
          </w:p>
          <w:p w14:paraId="1060B745" w14:textId="0A7C553E" w:rsidR="001D628A" w:rsidRDefault="00E76C98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E76C98">
              <w:rPr>
                <w:rFonts w:ascii="Arial" w:hAnsi="Arial" w:cs="Arial"/>
                <w:b/>
                <w:color w:val="000000" w:themeColor="text1"/>
                <w:szCs w:val="22"/>
              </w:rPr>
              <w:t>Escáner</w:t>
            </w:r>
            <w:r w:rsidR="00AB59D2">
              <w:rPr>
                <w:rFonts w:ascii="Arial" w:hAnsi="Arial" w:cs="Arial"/>
                <w:color w:val="000000" w:themeColor="text1"/>
                <w:szCs w:val="22"/>
              </w:rPr>
              <w:t>: Salimos de la unidad cuando el escáner está libre. L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os cables pueden interferir en la calidad de la imagen, por lo que habrá que colocarlos adecuadamente y, especialmente, </w:t>
            </w:r>
            <w:r w:rsidR="00A338BC">
              <w:rPr>
                <w:rFonts w:ascii="Arial" w:hAnsi="Arial" w:cs="Arial"/>
                <w:color w:val="000000" w:themeColor="text1"/>
                <w:szCs w:val="22"/>
              </w:rPr>
              <w:t>alejar la petaca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 de la zona craneal</w:t>
            </w:r>
            <w:r w:rsidR="00A338BC">
              <w:rPr>
                <w:rFonts w:ascii="Arial" w:hAnsi="Arial" w:cs="Arial"/>
                <w:color w:val="000000" w:themeColor="text1"/>
                <w:szCs w:val="22"/>
              </w:rPr>
              <w:t xml:space="preserve"> en el caso de TAC craneal o cervical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.</w:t>
            </w:r>
            <w:r w:rsidR="00E56B29">
              <w:rPr>
                <w:rFonts w:ascii="Arial" w:hAnsi="Arial" w:cs="Arial"/>
                <w:color w:val="000000" w:themeColor="text1"/>
                <w:szCs w:val="22"/>
              </w:rPr>
              <w:t xml:space="preserve"> Siempre se coloca al paciente con la cabeza de forma distante al escáner</w:t>
            </w:r>
          </w:p>
          <w:p w14:paraId="5A8CE94D" w14:textId="75A16DCC" w:rsidR="00E76C98" w:rsidRDefault="00E76C98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 w:rsidRPr="00E76C98">
              <w:rPr>
                <w:rFonts w:ascii="Arial" w:hAnsi="Arial" w:cs="Arial"/>
                <w:b/>
                <w:color w:val="000000" w:themeColor="text1"/>
                <w:szCs w:val="22"/>
              </w:rPr>
              <w:t>Resonancia magnética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: monitorización de</w:t>
            </w:r>
            <w:r w:rsidR="009E7D94">
              <w:rPr>
                <w:rFonts w:ascii="Arial" w:hAnsi="Arial" w:cs="Arial"/>
                <w:color w:val="000000" w:themeColor="text1"/>
                <w:szCs w:val="22"/>
              </w:rPr>
              <w:t>l paciente con electrodos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 y sistema de presión arterial invasiva compatibles con esta prueba (se encuentran en el almacén). Alargaderas intravenosas si drogas vasoactivas </w:t>
            </w:r>
            <w:r w:rsidR="00A967EC">
              <w:rPr>
                <w:rFonts w:ascii="Arial" w:hAnsi="Arial" w:cs="Arial"/>
                <w:color w:val="000000" w:themeColor="text1"/>
                <w:szCs w:val="22"/>
              </w:rPr>
              <w:t xml:space="preserve">para </w:t>
            </w:r>
            <w:r w:rsidR="00C263F8">
              <w:rPr>
                <w:rFonts w:ascii="Arial" w:hAnsi="Arial" w:cs="Arial"/>
                <w:color w:val="000000" w:themeColor="text1"/>
                <w:szCs w:val="22"/>
              </w:rPr>
              <w:t>colocar</w:t>
            </w:r>
            <w:r w:rsidR="00A967EC">
              <w:rPr>
                <w:rFonts w:ascii="Arial" w:hAnsi="Arial" w:cs="Arial"/>
                <w:color w:val="000000" w:themeColor="text1"/>
                <w:szCs w:val="22"/>
              </w:rPr>
              <w:t xml:space="preserve"> las bombas </w:t>
            </w:r>
            <w:r w:rsidR="00C263F8">
              <w:rPr>
                <w:rFonts w:ascii="Arial" w:hAnsi="Arial" w:cs="Arial"/>
                <w:color w:val="000000" w:themeColor="text1"/>
                <w:szCs w:val="22"/>
              </w:rPr>
              <w:t>dentro de</w:t>
            </w:r>
            <w:r w:rsidR="00A967EC">
              <w:rPr>
                <w:rFonts w:ascii="Arial" w:hAnsi="Arial" w:cs="Arial"/>
                <w:color w:val="000000" w:themeColor="text1"/>
                <w:szCs w:val="22"/>
              </w:rPr>
              <w:t xml:space="preserve"> la jaula de Faraday y colocar</w:t>
            </w:r>
            <w:r w:rsidR="00C263F8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 w:rsidR="009E7D94">
              <w:rPr>
                <w:rFonts w:ascii="Arial" w:hAnsi="Arial" w:cs="Arial"/>
                <w:color w:val="000000" w:themeColor="text1"/>
                <w:szCs w:val="22"/>
              </w:rPr>
              <w:t>esta</w:t>
            </w:r>
            <w:r w:rsidR="00C263F8">
              <w:rPr>
                <w:rFonts w:ascii="Arial" w:hAnsi="Arial" w:cs="Arial"/>
                <w:color w:val="000000" w:themeColor="text1"/>
                <w:szCs w:val="22"/>
              </w:rPr>
              <w:t xml:space="preserve"> a una distancia pru</w:t>
            </w:r>
            <w:r w:rsidR="00A967EC">
              <w:rPr>
                <w:rFonts w:ascii="Arial" w:hAnsi="Arial" w:cs="Arial"/>
                <w:color w:val="000000" w:themeColor="text1"/>
                <w:szCs w:val="22"/>
              </w:rPr>
              <w:t>dencial.</w:t>
            </w:r>
          </w:p>
          <w:p w14:paraId="5CDCAB7E" w14:textId="77777777" w:rsidR="00E76C98" w:rsidRDefault="00E76C98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Solo nos llevamos para el traslado las bombas con drogas vasoactivas o inotrópicos. La sedación la manejaremos a bolos, titulando el efecto en el paciente.</w:t>
            </w:r>
          </w:p>
          <w:p w14:paraId="68658D44" w14:textId="50AFEFF6" w:rsidR="00E56B29" w:rsidRDefault="00E56B29" w:rsidP="00DF1970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 xml:space="preserve">La mochila de traslado intrahospitalario debe de ir encima de la cama del paciente y nunca a los pies de la cama, </w:t>
            </w:r>
            <w:r w:rsidR="009E7D94">
              <w:rPr>
                <w:rFonts w:ascii="Arial" w:hAnsi="Arial" w:cs="Arial"/>
                <w:color w:val="000000" w:themeColor="text1"/>
                <w:szCs w:val="22"/>
              </w:rPr>
              <w:t>ya que,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 si la necesitamos de forma emergente dentro del ascensor, será muy difícil acceder a ella.</w:t>
            </w:r>
          </w:p>
          <w:p w14:paraId="6481D2EE" w14:textId="77777777" w:rsidR="00AB59D2" w:rsidRDefault="00AB59D2" w:rsidP="00AB59D2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Protección personal de acuerdo con la situación del paciente. Mínimo recomendable: bata, guantes, mascarilla y gorro.</w:t>
            </w:r>
          </w:p>
          <w:p w14:paraId="197D2B0A" w14:textId="77777777" w:rsidR="00AB59D2" w:rsidRDefault="00AB59D2" w:rsidP="00AB59D2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>Todo el material vuelve a la unidad inmediatamente, incluso si el paciente va a quirófano: bombas, camilla de cuchara, férulas, faja pélvica, camilla de traslado, etc.</w:t>
            </w:r>
          </w:p>
          <w:p w14:paraId="010B25D9" w14:textId="061E90B5" w:rsidR="00AB59D2" w:rsidRPr="00DF1970" w:rsidRDefault="00AB59D2" w:rsidP="00AB59D2">
            <w:pPr>
              <w:pStyle w:val="Prrafodelista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Cs w:val="22"/>
              </w:rPr>
              <w:t xml:space="preserve">Preservar la </w:t>
            </w:r>
            <w:r w:rsidRPr="00AB59D2">
              <w:rPr>
                <w:rFonts w:ascii="Arial" w:hAnsi="Arial" w:cs="Arial"/>
                <w:b/>
                <w:color w:val="000000" w:themeColor="text1"/>
                <w:szCs w:val="22"/>
              </w:rPr>
              <w:t>intimidad del paciente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 y asegurar la protección térmica del mismo: sábanas y mantas.</w:t>
            </w:r>
          </w:p>
        </w:tc>
      </w:tr>
    </w:tbl>
    <w:p w14:paraId="2077E5F2" w14:textId="4E02B30A" w:rsidR="00C7250F" w:rsidRDefault="00C7250F" w:rsidP="00B12096">
      <w:pPr>
        <w:spacing w:before="120" w:after="120"/>
        <w:jc w:val="both"/>
      </w:pPr>
    </w:p>
    <w:sectPr w:rsidR="00C7250F" w:rsidSect="00427560">
      <w:pgSz w:w="11899" w:h="1685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0E2"/>
    <w:multiLevelType w:val="hybridMultilevel"/>
    <w:tmpl w:val="FFFFFFFF"/>
    <w:lvl w:ilvl="0" w:tplc="97FE83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B642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969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2EF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9E8B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0813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3AA5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6A8F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309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C44C49"/>
    <w:multiLevelType w:val="hybridMultilevel"/>
    <w:tmpl w:val="A1FA7F98"/>
    <w:lvl w:ilvl="0" w:tplc="0C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383F7645"/>
    <w:multiLevelType w:val="hybridMultilevel"/>
    <w:tmpl w:val="2C4CE742"/>
    <w:lvl w:ilvl="0" w:tplc="68D8BE0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81A22"/>
    <w:multiLevelType w:val="hybridMultilevel"/>
    <w:tmpl w:val="FFFFFFFF"/>
    <w:lvl w:ilvl="0" w:tplc="93828EDE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ECCB2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25464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C6BA4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E6600E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E9C38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628FA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AB452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06190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767282"/>
    <w:multiLevelType w:val="hybridMultilevel"/>
    <w:tmpl w:val="FFFFFFFF"/>
    <w:lvl w:ilvl="0" w:tplc="7716EE06">
      <w:start w:val="1"/>
      <w:numFmt w:val="bullet"/>
      <w:lvlText w:val="●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9AE10E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60C20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26A1E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4B1BE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902D64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ECE62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21872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4AF9E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450B45"/>
    <w:multiLevelType w:val="hybridMultilevel"/>
    <w:tmpl w:val="FFFFFFFF"/>
    <w:lvl w:ilvl="0" w:tplc="2E9433C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20430">
      <w:start w:val="1"/>
      <w:numFmt w:val="bullet"/>
      <w:lvlText w:val="o"/>
      <w:lvlJc w:val="left"/>
      <w:pPr>
        <w:ind w:left="1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624DEE">
      <w:start w:val="1"/>
      <w:numFmt w:val="bullet"/>
      <w:lvlText w:val="▪"/>
      <w:lvlJc w:val="left"/>
      <w:pPr>
        <w:ind w:left="2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9EADD2">
      <w:start w:val="1"/>
      <w:numFmt w:val="bullet"/>
      <w:lvlText w:val="•"/>
      <w:lvlJc w:val="left"/>
      <w:pPr>
        <w:ind w:left="2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4361E">
      <w:start w:val="1"/>
      <w:numFmt w:val="bullet"/>
      <w:lvlText w:val="o"/>
      <w:lvlJc w:val="left"/>
      <w:pPr>
        <w:ind w:left="3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30703C">
      <w:start w:val="1"/>
      <w:numFmt w:val="bullet"/>
      <w:lvlText w:val="▪"/>
      <w:lvlJc w:val="left"/>
      <w:pPr>
        <w:ind w:left="4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064A7A">
      <w:start w:val="1"/>
      <w:numFmt w:val="bullet"/>
      <w:lvlText w:val="•"/>
      <w:lvlJc w:val="left"/>
      <w:pPr>
        <w:ind w:left="5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A3F18">
      <w:start w:val="1"/>
      <w:numFmt w:val="bullet"/>
      <w:lvlText w:val="o"/>
      <w:lvlJc w:val="left"/>
      <w:pPr>
        <w:ind w:left="5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04ED08">
      <w:start w:val="1"/>
      <w:numFmt w:val="bullet"/>
      <w:lvlText w:val="▪"/>
      <w:lvlJc w:val="left"/>
      <w:pPr>
        <w:ind w:left="6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C03874"/>
    <w:multiLevelType w:val="hybridMultilevel"/>
    <w:tmpl w:val="5C48A390"/>
    <w:lvl w:ilvl="0" w:tplc="88746A7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7046C"/>
    <w:multiLevelType w:val="hybridMultilevel"/>
    <w:tmpl w:val="C588A0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34646421">
    <w:abstractNumId w:val="3"/>
  </w:num>
  <w:num w:numId="2" w16cid:durableId="1025404046">
    <w:abstractNumId w:val="4"/>
  </w:num>
  <w:num w:numId="3" w16cid:durableId="408312286">
    <w:abstractNumId w:val="5"/>
  </w:num>
  <w:num w:numId="4" w16cid:durableId="1199585176">
    <w:abstractNumId w:val="0"/>
  </w:num>
  <w:num w:numId="5" w16cid:durableId="2038433821">
    <w:abstractNumId w:val="6"/>
  </w:num>
  <w:num w:numId="6" w16cid:durableId="416176801">
    <w:abstractNumId w:val="7"/>
  </w:num>
  <w:num w:numId="7" w16cid:durableId="660544471">
    <w:abstractNumId w:val="1"/>
  </w:num>
  <w:num w:numId="8" w16cid:durableId="110507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50F"/>
    <w:rsid w:val="00000F3E"/>
    <w:rsid w:val="00001DA6"/>
    <w:rsid w:val="00004B6B"/>
    <w:rsid w:val="000261E6"/>
    <w:rsid w:val="000A5A84"/>
    <w:rsid w:val="000C636E"/>
    <w:rsid w:val="000D2146"/>
    <w:rsid w:val="000D2AAF"/>
    <w:rsid w:val="000D631E"/>
    <w:rsid w:val="000E20EC"/>
    <w:rsid w:val="00107C03"/>
    <w:rsid w:val="00134FCF"/>
    <w:rsid w:val="00173114"/>
    <w:rsid w:val="00196208"/>
    <w:rsid w:val="001A163C"/>
    <w:rsid w:val="001B721C"/>
    <w:rsid w:val="001C010E"/>
    <w:rsid w:val="001C22ED"/>
    <w:rsid w:val="001D3F33"/>
    <w:rsid w:val="001D628A"/>
    <w:rsid w:val="001E502E"/>
    <w:rsid w:val="00215078"/>
    <w:rsid w:val="00224056"/>
    <w:rsid w:val="002A2AE1"/>
    <w:rsid w:val="002F1B82"/>
    <w:rsid w:val="002F3E3F"/>
    <w:rsid w:val="003056EB"/>
    <w:rsid w:val="0039271A"/>
    <w:rsid w:val="0039678B"/>
    <w:rsid w:val="003A2687"/>
    <w:rsid w:val="003B5E9F"/>
    <w:rsid w:val="003C662B"/>
    <w:rsid w:val="003C6D1A"/>
    <w:rsid w:val="003D1487"/>
    <w:rsid w:val="0041346A"/>
    <w:rsid w:val="004226EB"/>
    <w:rsid w:val="00424750"/>
    <w:rsid w:val="00427560"/>
    <w:rsid w:val="004438E8"/>
    <w:rsid w:val="004512C8"/>
    <w:rsid w:val="004E1E86"/>
    <w:rsid w:val="004F7E9E"/>
    <w:rsid w:val="005200C2"/>
    <w:rsid w:val="005258F2"/>
    <w:rsid w:val="005347EC"/>
    <w:rsid w:val="0055109B"/>
    <w:rsid w:val="00571F0C"/>
    <w:rsid w:val="00573BC3"/>
    <w:rsid w:val="00592648"/>
    <w:rsid w:val="00614767"/>
    <w:rsid w:val="00615A29"/>
    <w:rsid w:val="00617C8C"/>
    <w:rsid w:val="00624DD0"/>
    <w:rsid w:val="00672C1E"/>
    <w:rsid w:val="0067342D"/>
    <w:rsid w:val="0069609A"/>
    <w:rsid w:val="006A1D8E"/>
    <w:rsid w:val="006E47AD"/>
    <w:rsid w:val="006F4694"/>
    <w:rsid w:val="00727EC9"/>
    <w:rsid w:val="00757269"/>
    <w:rsid w:val="00792189"/>
    <w:rsid w:val="007F46BA"/>
    <w:rsid w:val="007F5B53"/>
    <w:rsid w:val="0082729F"/>
    <w:rsid w:val="008852EC"/>
    <w:rsid w:val="008873FD"/>
    <w:rsid w:val="008943BF"/>
    <w:rsid w:val="008A30AA"/>
    <w:rsid w:val="008C4847"/>
    <w:rsid w:val="008D1B1B"/>
    <w:rsid w:val="008E1D56"/>
    <w:rsid w:val="008E4B04"/>
    <w:rsid w:val="008F0A29"/>
    <w:rsid w:val="00917A12"/>
    <w:rsid w:val="009709CD"/>
    <w:rsid w:val="009D0B55"/>
    <w:rsid w:val="009E4A54"/>
    <w:rsid w:val="009E4B0F"/>
    <w:rsid w:val="009E7D94"/>
    <w:rsid w:val="00A30B68"/>
    <w:rsid w:val="00A338BC"/>
    <w:rsid w:val="00A44D68"/>
    <w:rsid w:val="00A73681"/>
    <w:rsid w:val="00A94D47"/>
    <w:rsid w:val="00A967EC"/>
    <w:rsid w:val="00AB59D2"/>
    <w:rsid w:val="00AC3F95"/>
    <w:rsid w:val="00B1134A"/>
    <w:rsid w:val="00B12096"/>
    <w:rsid w:val="00B23372"/>
    <w:rsid w:val="00B53FE9"/>
    <w:rsid w:val="00B85ACF"/>
    <w:rsid w:val="00BA2A4C"/>
    <w:rsid w:val="00BC1890"/>
    <w:rsid w:val="00BC4F77"/>
    <w:rsid w:val="00BE34DD"/>
    <w:rsid w:val="00BF3130"/>
    <w:rsid w:val="00BF33FF"/>
    <w:rsid w:val="00C019A1"/>
    <w:rsid w:val="00C239EC"/>
    <w:rsid w:val="00C24890"/>
    <w:rsid w:val="00C263F8"/>
    <w:rsid w:val="00C66FF4"/>
    <w:rsid w:val="00C7250F"/>
    <w:rsid w:val="00C82937"/>
    <w:rsid w:val="00CD006D"/>
    <w:rsid w:val="00CE7556"/>
    <w:rsid w:val="00D07ABE"/>
    <w:rsid w:val="00D44872"/>
    <w:rsid w:val="00D471A5"/>
    <w:rsid w:val="00D82C65"/>
    <w:rsid w:val="00D94D68"/>
    <w:rsid w:val="00DB36DA"/>
    <w:rsid w:val="00DC78F7"/>
    <w:rsid w:val="00DE24E8"/>
    <w:rsid w:val="00DF1970"/>
    <w:rsid w:val="00E11DE0"/>
    <w:rsid w:val="00E16B66"/>
    <w:rsid w:val="00E25C88"/>
    <w:rsid w:val="00E35BF3"/>
    <w:rsid w:val="00E56B29"/>
    <w:rsid w:val="00E6084F"/>
    <w:rsid w:val="00E65BD0"/>
    <w:rsid w:val="00E75FB5"/>
    <w:rsid w:val="00E76C98"/>
    <w:rsid w:val="00EA5A0B"/>
    <w:rsid w:val="00EB3D49"/>
    <w:rsid w:val="00F44F93"/>
    <w:rsid w:val="00F92332"/>
    <w:rsid w:val="00F93110"/>
    <w:rsid w:val="00F96297"/>
    <w:rsid w:val="00FB063D"/>
    <w:rsid w:val="00FB74A5"/>
    <w:rsid w:val="00FC1D45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E52C"/>
  <w15:docId w15:val="{B4C89371-440D-844F-A98E-6F56687D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3D"/>
    <w:pPr>
      <w:spacing w:line="259" w:lineRule="auto"/>
    </w:pPr>
    <w:rPr>
      <w:rFonts w:ascii="Calibri" w:eastAsia="Calibri" w:hAnsi="Calibri" w:cs="Calibri"/>
      <w:color w:val="000000"/>
      <w:sz w:val="22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F33F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E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471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1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1A5"/>
    <w:rPr>
      <w:rFonts w:ascii="Calibri" w:eastAsia="Calibri" w:hAnsi="Calibri" w:cs="Calibri"/>
      <w:color w:val="000000"/>
      <w:sz w:val="20"/>
      <w:szCs w:val="20"/>
      <w:lang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1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1A5"/>
    <w:rPr>
      <w:rFonts w:ascii="Calibri" w:eastAsia="Calibri" w:hAnsi="Calibri" w:cs="Calibri"/>
      <w:b/>
      <w:bCs/>
      <w:color w:val="000000"/>
      <w:sz w:val="20"/>
      <w:szCs w:val="20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1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A5"/>
    <w:rPr>
      <w:rFonts w:ascii="Times New Roman" w:eastAsia="Calibri" w:hAnsi="Times New Roman" w:cs="Times New Roman"/>
      <w:color w:val="000000"/>
      <w:sz w:val="18"/>
      <w:szCs w:val="18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53669-6A6B-3743-9074-003C7CE5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Frade Mera.Maria Jesus</dc:creator>
  <cp:keywords/>
  <cp:lastModifiedBy>Adrian Marcos</cp:lastModifiedBy>
  <cp:revision>3</cp:revision>
  <dcterms:created xsi:type="dcterms:W3CDTF">2025-06-24T09:39:00Z</dcterms:created>
  <dcterms:modified xsi:type="dcterms:W3CDTF">2025-07-01T09:57:00Z</dcterms:modified>
</cp:coreProperties>
</file>