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AFCED" w14:textId="5A679C31" w:rsidR="005A379F" w:rsidRPr="002B58C1" w:rsidRDefault="00106515" w:rsidP="00D91ABE">
      <w:pPr>
        <w:pStyle w:val="Title"/>
        <w:rPr>
          <w:rFonts w:eastAsia="Times New Roman"/>
          <w:sz w:val="29"/>
          <w:szCs w:val="29"/>
        </w:rPr>
      </w:pPr>
      <w:r w:rsidRPr="002B58C1">
        <w:rPr>
          <w:rFonts w:eastAsia="Times New Roman"/>
          <w:sz w:val="29"/>
          <w:szCs w:val="29"/>
        </w:rPr>
        <w:t xml:space="preserve">Looking up </w:t>
      </w:r>
      <w:r w:rsidR="00D67E82" w:rsidRPr="002B58C1">
        <w:rPr>
          <w:rFonts w:eastAsia="Times New Roman"/>
          <w:sz w:val="29"/>
          <w:szCs w:val="29"/>
        </w:rPr>
        <w:t>information</w:t>
      </w:r>
      <w:r w:rsidRPr="002B58C1">
        <w:rPr>
          <w:rFonts w:eastAsia="Times New Roman"/>
          <w:sz w:val="29"/>
          <w:szCs w:val="29"/>
        </w:rPr>
        <w:t xml:space="preserve"> in email</w:t>
      </w:r>
      <w:r w:rsidR="005A379F" w:rsidRPr="002B58C1">
        <w:rPr>
          <w:rFonts w:eastAsia="Times New Roman"/>
          <w:sz w:val="29"/>
          <w:szCs w:val="29"/>
        </w:rPr>
        <w:t xml:space="preserve">: an online experiment shows people </w:t>
      </w:r>
      <w:r w:rsidR="00AA678A" w:rsidRPr="002B58C1">
        <w:rPr>
          <w:rFonts w:eastAsia="Times New Roman"/>
          <w:sz w:val="29"/>
          <w:szCs w:val="29"/>
        </w:rPr>
        <w:t xml:space="preserve">make shorter </w:t>
      </w:r>
      <w:r w:rsidR="00B76C18" w:rsidRPr="002B58C1">
        <w:rPr>
          <w:rFonts w:eastAsia="Times New Roman"/>
          <w:sz w:val="29"/>
          <w:szCs w:val="29"/>
        </w:rPr>
        <w:t>visits to their inbox</w:t>
      </w:r>
      <w:r w:rsidR="005A379F" w:rsidRPr="002B58C1">
        <w:rPr>
          <w:rFonts w:eastAsia="Times New Roman"/>
          <w:sz w:val="29"/>
          <w:szCs w:val="29"/>
        </w:rPr>
        <w:t xml:space="preserve"> when given feedback on the </w:t>
      </w:r>
      <w:r w:rsidR="0020233A">
        <w:rPr>
          <w:rFonts w:eastAsia="Times New Roman"/>
          <w:sz w:val="29"/>
          <w:szCs w:val="29"/>
        </w:rPr>
        <w:t>duration</w:t>
      </w:r>
      <w:r w:rsidR="005A379F" w:rsidRPr="002B58C1">
        <w:rPr>
          <w:rFonts w:eastAsia="Times New Roman"/>
          <w:sz w:val="29"/>
          <w:szCs w:val="29"/>
        </w:rPr>
        <w:t xml:space="preserve"> of their </w:t>
      </w:r>
      <w:r w:rsidR="00AA678A" w:rsidRPr="002B58C1">
        <w:rPr>
          <w:rFonts w:eastAsia="Times New Roman"/>
          <w:sz w:val="29"/>
          <w:szCs w:val="29"/>
        </w:rPr>
        <w:t>switches</w:t>
      </w:r>
    </w:p>
    <w:p w14:paraId="6805F3AD" w14:textId="164FBB8F" w:rsidR="005A379F" w:rsidRPr="00D535BA" w:rsidRDefault="008E1FC4" w:rsidP="008005F1">
      <w:pPr>
        <w:pStyle w:val="Heading1"/>
        <w:rPr>
          <w:sz w:val="20"/>
        </w:rPr>
      </w:pPr>
      <w:r>
        <w:t>Abstract</w:t>
      </w:r>
    </w:p>
    <w:p w14:paraId="3EFC1CD0" w14:textId="22B5858F" w:rsidR="006E157B" w:rsidRPr="00770827" w:rsidRDefault="005A379F" w:rsidP="00770827">
      <w:pPr>
        <w:pStyle w:val="Paragraph"/>
        <w:ind w:firstLine="0"/>
      </w:pPr>
      <w:r w:rsidRPr="00923A8A">
        <w:t xml:space="preserve">Data entry often involves looking up certain information and entering </w:t>
      </w:r>
      <w:r w:rsidR="00C948A2" w:rsidRPr="00923A8A">
        <w:t xml:space="preserve">this into a data entry system. </w:t>
      </w:r>
      <w:r w:rsidRPr="00923A8A">
        <w:t>Switching away from the data en</w:t>
      </w:r>
      <w:r w:rsidR="00685ECF" w:rsidRPr="00923A8A">
        <w:t xml:space="preserve">try interface can be disruptive: </w:t>
      </w:r>
      <w:r w:rsidRPr="00923A8A">
        <w:t>it slows people down and can increase errors. </w:t>
      </w:r>
      <w:r w:rsidR="000539A5" w:rsidRPr="00923A8A">
        <w:t>Moreover</w:t>
      </w:r>
      <w:r w:rsidRPr="00923A8A">
        <w:t xml:space="preserve">, </w:t>
      </w:r>
      <w:r w:rsidR="00BB7122" w:rsidRPr="00923A8A">
        <w:t xml:space="preserve">depending on where the information </w:t>
      </w:r>
      <w:r w:rsidR="00C3124E" w:rsidRPr="00923A8A">
        <w:t xml:space="preserve">has to be retrieved </w:t>
      </w:r>
      <w:r w:rsidR="00BB7122" w:rsidRPr="00923A8A">
        <w:t xml:space="preserve">from, </w:t>
      </w:r>
      <w:r w:rsidRPr="00923A8A">
        <w:t>people can get distracted and forget</w:t>
      </w:r>
      <w:r w:rsidR="00BB7122" w:rsidRPr="00923A8A">
        <w:t xml:space="preserve"> to return to the task</w:t>
      </w:r>
      <w:r w:rsidRPr="00923A8A">
        <w:t xml:space="preserve">. </w:t>
      </w:r>
      <w:r w:rsidR="00CC0A1F" w:rsidRPr="00923A8A">
        <w:t>In this paper, we</w:t>
      </w:r>
      <w:r w:rsidR="00E162CE" w:rsidRPr="00923A8A">
        <w:t xml:space="preserve"> investigate whether giving </w:t>
      </w:r>
      <w:r w:rsidR="00800FF0" w:rsidRPr="00923A8A">
        <w:t xml:space="preserve">people </w:t>
      </w:r>
      <w:r w:rsidR="00E162CE" w:rsidRPr="00923A8A">
        <w:t xml:space="preserve">feedback on how long </w:t>
      </w:r>
      <w:r w:rsidR="00800FF0" w:rsidRPr="00923A8A">
        <w:t>they</w:t>
      </w:r>
      <w:r w:rsidR="00E162CE" w:rsidRPr="00923A8A">
        <w:t xml:space="preserve"> are away for has any effect on </w:t>
      </w:r>
      <w:r w:rsidR="00D54575" w:rsidRPr="00923A8A">
        <w:t xml:space="preserve">the </w:t>
      </w:r>
      <w:r w:rsidR="00AD7B00">
        <w:t>duration</w:t>
      </w:r>
      <w:r w:rsidR="00D54575" w:rsidRPr="00923A8A">
        <w:t xml:space="preserve"> </w:t>
      </w:r>
      <w:r w:rsidR="002E4C5E" w:rsidRPr="00923A8A">
        <w:t>and number of</w:t>
      </w:r>
      <w:r w:rsidR="00FB28AF" w:rsidRPr="00923A8A">
        <w:t xml:space="preserve"> their</w:t>
      </w:r>
      <w:r w:rsidR="002E4C5E" w:rsidRPr="00923A8A">
        <w:t xml:space="preserve"> </w:t>
      </w:r>
      <w:r w:rsidR="00D94456" w:rsidRPr="00923A8A">
        <w:t>switches</w:t>
      </w:r>
      <w:r w:rsidR="00E162CE" w:rsidRPr="00923A8A">
        <w:t xml:space="preserve">. </w:t>
      </w:r>
      <w:r w:rsidRPr="00923A8A">
        <w:t xml:space="preserve">An online study was conducted </w:t>
      </w:r>
      <w:r w:rsidR="00790F45" w:rsidRPr="00923A8A">
        <w:t>in which</w:t>
      </w:r>
      <w:r w:rsidR="00CA18E9" w:rsidRPr="00923A8A">
        <w:t xml:space="preserve"> participants</w:t>
      </w:r>
      <w:r w:rsidRPr="00923A8A">
        <w:t xml:space="preserve"> </w:t>
      </w:r>
      <w:r w:rsidR="00F51DC9" w:rsidRPr="00923A8A">
        <w:t>had</w:t>
      </w:r>
      <w:r w:rsidR="00DD0850" w:rsidRPr="00923A8A">
        <w:t xml:space="preserve"> to enter </w:t>
      </w:r>
      <w:r w:rsidR="003E53FC" w:rsidRPr="00923A8A">
        <w:t>numeric codes</w:t>
      </w:r>
      <w:r w:rsidR="00FA33DE" w:rsidRPr="00923A8A">
        <w:t xml:space="preserve"> for a data entry </w:t>
      </w:r>
      <w:r w:rsidRPr="00923A8A">
        <w:t>task</w:t>
      </w:r>
      <w:r w:rsidR="007E1903" w:rsidRPr="00923A8A">
        <w:t xml:space="preserve"> into an online spreadsheet</w:t>
      </w:r>
      <w:r w:rsidRPr="00923A8A">
        <w:t xml:space="preserve">. They had to </w:t>
      </w:r>
      <w:r w:rsidR="008925D3" w:rsidRPr="00923A8A">
        <w:t>look u</w:t>
      </w:r>
      <w:r w:rsidR="008A5777" w:rsidRPr="00923A8A">
        <w:t>p</w:t>
      </w:r>
      <w:r w:rsidR="00205DC9" w:rsidRPr="00923A8A">
        <w:t xml:space="preserve"> these codes </w:t>
      </w:r>
      <w:r w:rsidRPr="00923A8A">
        <w:t xml:space="preserve">in an email that was sent to </w:t>
      </w:r>
      <w:r w:rsidR="00A722AE" w:rsidRPr="00923A8A">
        <w:t>their personal email</w:t>
      </w:r>
      <w:r w:rsidRPr="00923A8A">
        <w:t xml:space="preserve"> </w:t>
      </w:r>
      <w:r w:rsidR="000C3319" w:rsidRPr="00923A8A">
        <w:t>upon starting</w:t>
      </w:r>
      <w:r w:rsidRPr="00923A8A">
        <w:t xml:space="preserve"> the experiment. </w:t>
      </w:r>
      <w:r w:rsidR="00AA557A" w:rsidRPr="00923A8A">
        <w:t xml:space="preserve">We found that people </w:t>
      </w:r>
      <w:r w:rsidR="000B075C" w:rsidRPr="00923A8A">
        <w:t xml:space="preserve">who were shown how long they were away for </w:t>
      </w:r>
      <w:r w:rsidR="00D2033B" w:rsidRPr="00923A8A">
        <w:t>made shorter switches</w:t>
      </w:r>
      <w:r w:rsidR="00AA557A" w:rsidRPr="00923A8A">
        <w:t xml:space="preserve">, </w:t>
      </w:r>
      <w:r w:rsidR="00D2033B" w:rsidRPr="00923A8A">
        <w:t>were faster to complete the task and made fewer data entry errors</w:t>
      </w:r>
      <w:r w:rsidR="0061254A" w:rsidRPr="00923A8A">
        <w:t xml:space="preserve">. </w:t>
      </w:r>
      <w:r w:rsidR="00960411" w:rsidRPr="00923A8A">
        <w:t>This suggests</w:t>
      </w:r>
      <w:r w:rsidR="0061254A" w:rsidRPr="00923A8A">
        <w:t xml:space="preserve"> </w:t>
      </w:r>
      <w:r w:rsidR="00AA557A" w:rsidRPr="00923A8A">
        <w:t xml:space="preserve">that people </w:t>
      </w:r>
      <w:r w:rsidR="00AD7B00">
        <w:t>may have been</w:t>
      </w:r>
      <w:r w:rsidR="008A483A" w:rsidRPr="00923A8A">
        <w:t xml:space="preserve"> less</w:t>
      </w:r>
      <w:r w:rsidR="00AA557A" w:rsidRPr="00923A8A">
        <w:t xml:space="preserve"> </w:t>
      </w:r>
      <w:r w:rsidR="00F55921" w:rsidRPr="00923A8A">
        <w:t>inclined</w:t>
      </w:r>
      <w:r w:rsidR="004E1195" w:rsidRPr="00923A8A">
        <w:t xml:space="preserve"> </w:t>
      </w:r>
      <w:r w:rsidR="008A483A" w:rsidRPr="00923A8A">
        <w:t>to attend</w:t>
      </w:r>
      <w:r w:rsidR="00F55921" w:rsidRPr="00923A8A">
        <w:t xml:space="preserve"> to unrelated activities </w:t>
      </w:r>
      <w:r w:rsidR="008A483A" w:rsidRPr="00923A8A">
        <w:t>during these switches, such as opening other emails.</w:t>
      </w:r>
      <w:r w:rsidR="004E1195" w:rsidRPr="00923A8A">
        <w:t xml:space="preserve"> </w:t>
      </w:r>
      <w:r w:rsidR="009D0C14" w:rsidRPr="00923A8A">
        <w:t>We conclude that g</w:t>
      </w:r>
      <w:r w:rsidR="00F55AB7" w:rsidRPr="00923A8A">
        <w:t xml:space="preserve">iving people feedback on the time of their </w:t>
      </w:r>
      <w:r w:rsidR="006741E0">
        <w:t>switches</w:t>
      </w:r>
      <w:r w:rsidR="00236936" w:rsidRPr="00923A8A">
        <w:t xml:space="preserve"> may make people more aware of their </w:t>
      </w:r>
      <w:r w:rsidR="006741E0">
        <w:t>switching</w:t>
      </w:r>
      <w:r w:rsidR="00236936" w:rsidRPr="00923A8A">
        <w:t xml:space="preserve"> behaviour, and </w:t>
      </w:r>
      <w:r w:rsidR="005F2BE9" w:rsidRPr="00923A8A">
        <w:t>can assist users to focus on</w:t>
      </w:r>
      <w:r w:rsidR="00907B5D" w:rsidRPr="00923A8A">
        <w:t xml:space="preserve"> a task</w:t>
      </w:r>
      <w:r w:rsidR="005F2BE9" w:rsidRPr="00923A8A">
        <w:t>.</w:t>
      </w:r>
      <w:r w:rsidR="00647463" w:rsidRPr="00923A8A">
        <w:t xml:space="preserve"> </w:t>
      </w:r>
    </w:p>
    <w:p w14:paraId="68EA1BE5" w14:textId="5BCA447A" w:rsidR="006E157B" w:rsidRPr="00C53687" w:rsidRDefault="008E1FC4" w:rsidP="008005F1">
      <w:pPr>
        <w:pStyle w:val="Heading1"/>
      </w:pPr>
      <w:r>
        <w:t>Introduction</w:t>
      </w:r>
    </w:p>
    <w:p w14:paraId="53E469A3" w14:textId="31DC8715" w:rsidR="00411885" w:rsidRPr="00AE64B4" w:rsidRDefault="00E05966" w:rsidP="00770827">
      <w:pPr>
        <w:pStyle w:val="Paragraph"/>
        <w:ind w:firstLine="0"/>
      </w:pPr>
      <w:r w:rsidRPr="00AE64B4">
        <w:t>Data</w:t>
      </w:r>
      <w:r w:rsidR="003F5E5E" w:rsidRPr="00AE64B4">
        <w:t xml:space="preserve"> entry is a common task in </w:t>
      </w:r>
      <w:r w:rsidRPr="00AE64B4">
        <w:t>work settings.</w:t>
      </w:r>
      <w:r w:rsidR="00411885" w:rsidRPr="00AE64B4">
        <w:t xml:space="preserve"> In many cases, people have to </w:t>
      </w:r>
      <w:r w:rsidR="001B1897" w:rsidRPr="00AE64B4">
        <w:t xml:space="preserve">access </w:t>
      </w:r>
      <w:r w:rsidRPr="00AE64B4">
        <w:t>multiple sources</w:t>
      </w:r>
      <w:r w:rsidR="00411885" w:rsidRPr="00AE64B4">
        <w:t xml:space="preserve"> to </w:t>
      </w:r>
      <w:r w:rsidR="004548EB">
        <w:t>find, collect, and enter</w:t>
      </w:r>
      <w:r w:rsidR="00411885" w:rsidRPr="00AE64B4">
        <w:t xml:space="preserve"> information</w:t>
      </w:r>
      <w:r w:rsidR="00E95830">
        <w:t xml:space="preserve"> </w:t>
      </w:r>
      <w:r w:rsidR="00E95830">
        <w:fldChar w:fldCharType="begin" w:fldLock="1"/>
      </w:r>
      <w:r w:rsidR="00E95830">
        <w:instrText>ADDIN CSL_CITATION { "citationItems" : [ { "id" : "ITEM-1", "itemData" : { "DOI" : "10.18420/ecscw2017-4", "author" : [ { "dropping-particle" : "", "family" : "Borghouts", "given" : "Judith", "non-dropping-particle" : "", "parse-names" : false, "suffix" : "" }, { "dropping-particle" : "", "family" : "Brumby", "given" : "Duncan P.", "non-dropping-particle" : "", "parse-names" : false, "suffix" : "" }, { "dropping-particle" : "", "family" : "Cox", "given" : "Anna L.", "non-dropping-particle" : "", "parse-names" : false, "suffix" : "" } ], "container-title" : "Proceedings of 15th European Conference on Computer-Supported Cooperative Work", "id" : "ITEM-1", "issued" : { "date-parts" : [ [ "2017" ] ] }, "publisher-place" : "Sheffield, UK", "title" : "Batching, Error Checking and Data Collecting : Understanding Data Entry in a Financial Office", "type" : "paper-conference" }, "uris" : [ "http://www.mendeley.com/documents/?uuid=e5b96d49-dfed-4554-85a3-e68d5ea651d3" ] } ], "mendeley" : { "formattedCitation" : "(Borghouts, Brumby, &amp; Cox, 2017)", "plainTextFormattedCitation" : "(Borghouts, Brumby, &amp; Cox, 2017)", "previouslyFormattedCitation" : "(Borghouts, Brumby, &amp; Cox, 2017)" }, "properties" : {  }, "schema" : "https://github.com/citation-style-language/schema/raw/master/csl-citation.json" }</w:instrText>
      </w:r>
      <w:r w:rsidR="00E95830">
        <w:fldChar w:fldCharType="separate"/>
      </w:r>
      <w:r w:rsidR="00E95830" w:rsidRPr="00E95830">
        <w:rPr>
          <w:noProof/>
        </w:rPr>
        <w:t>(Borghouts, Brumby, &amp; Cox, 2017)</w:t>
      </w:r>
      <w:r w:rsidR="00E95830">
        <w:fldChar w:fldCharType="end"/>
      </w:r>
      <w:r w:rsidR="00E95830">
        <w:t xml:space="preserve">. </w:t>
      </w:r>
      <w:r w:rsidR="00F52D94" w:rsidRPr="00AE64B4">
        <w:t xml:space="preserve">When </w:t>
      </w:r>
      <w:r w:rsidR="007A58DC">
        <w:t>users have</w:t>
      </w:r>
      <w:r w:rsidR="00F52D94" w:rsidRPr="00AE64B4">
        <w:t xml:space="preserve"> to switch between sources, </w:t>
      </w:r>
      <w:r w:rsidR="000F130F" w:rsidRPr="00AE64B4">
        <w:t>it is often difficult to maintain focus on the task</w:t>
      </w:r>
      <w:r w:rsidR="00E95830">
        <w:t xml:space="preserve"> </w:t>
      </w:r>
      <w:r w:rsidR="00E95830">
        <w:fldChar w:fldCharType="begin" w:fldLock="1"/>
      </w:r>
      <w:r w:rsidR="009F6E57">
        <w:instrText>ADDIN CSL_CITATION { "citationItems" : [ { "id" : "ITEM-1", "itemData" : { "ISBN" : "1581137028", "author" : [ { "dropping-particle" : "", "family" : "Gonzalez", "given" : "Victor M.", "non-dropping-particle" : "", "parse-names" : false, "suffix" : "" }, { "dropping-particle" : "", "family" : "Mark", "given" : "Gloria", "non-dropping-particle" : "", "parse-names" : false, "suffix" : "" } ], "container-title" : "Proceedings of the SIGCHI Conference on Human Factors in Computing Systems (CHI '04)", "id" : "ITEM-1", "issued" : { "date-parts" : [ [ "2004" ] ] }, "page" : "113-120", "publisher-place" : "Vienna, Austria", "title" : "\"Constant, Constant, Multi-tasking Craziness\": Managing Multiple Working Spheres", "type" : "paper-conference" }, "uris" : [ "http://www.mendeley.com/documents/?uuid=e8d1e027-1cc4-4393-87c0-b84edf2c9ea1" ] } ], "mendeley" : { "formattedCitation" : "(Gonzalez &amp; Mark, 2004)", "plainTextFormattedCitation" : "(Gonzalez &amp; Mark, 2004)", "previouslyFormattedCitation" : "(Gonzalez &amp; Mark, 2004)" }, "properties" : {  }, "schema" : "https://github.com/citation-style-language/schema/raw/master/csl-citation.json" }</w:instrText>
      </w:r>
      <w:r w:rsidR="00E95830">
        <w:fldChar w:fldCharType="separate"/>
      </w:r>
      <w:r w:rsidR="00E95830" w:rsidRPr="00E95830">
        <w:rPr>
          <w:noProof/>
        </w:rPr>
        <w:t>(Gonzalez &amp; Mark, 2004)</w:t>
      </w:r>
      <w:r w:rsidR="00E95830">
        <w:fldChar w:fldCharType="end"/>
      </w:r>
      <w:r w:rsidR="00D76050" w:rsidRPr="00AE64B4">
        <w:t>. I</w:t>
      </w:r>
      <w:r w:rsidR="00175EB5" w:rsidRPr="00AE64B4">
        <w:t xml:space="preserve">t </w:t>
      </w:r>
      <w:r w:rsidR="00F52D94" w:rsidRPr="00AE64B4">
        <w:t xml:space="preserve">opens up </w:t>
      </w:r>
      <w:r w:rsidR="00A20E34" w:rsidRPr="00AE64B4">
        <w:t>opportunities</w:t>
      </w:r>
      <w:r w:rsidR="00F52D94" w:rsidRPr="00AE64B4">
        <w:t xml:space="preserve"> to get distracted</w:t>
      </w:r>
      <w:r w:rsidR="00390742" w:rsidRPr="00AE64B4">
        <w:t xml:space="preserve">, and a switch </w:t>
      </w:r>
      <w:r w:rsidR="00662CBA" w:rsidRPr="00AE64B4">
        <w:t>to look up information</w:t>
      </w:r>
      <w:r w:rsidR="002B7397" w:rsidRPr="00AE64B4">
        <w:t xml:space="preserve"> </w:t>
      </w:r>
      <w:r w:rsidR="00D76050" w:rsidRPr="00AE64B4">
        <w:t>may take longer than intended</w:t>
      </w:r>
      <w:r w:rsidR="000F130F" w:rsidRPr="00AE64B4">
        <w:t xml:space="preserve">. </w:t>
      </w:r>
      <w:r w:rsidR="00B26DB3" w:rsidRPr="00AE64B4">
        <w:t>In addition</w:t>
      </w:r>
      <w:r w:rsidR="000F130F" w:rsidRPr="00AE64B4">
        <w:t xml:space="preserve">, people </w:t>
      </w:r>
      <w:r w:rsidR="00352BB4" w:rsidRPr="00AE64B4">
        <w:t xml:space="preserve">can further </w:t>
      </w:r>
      <w:r w:rsidR="00F1438D" w:rsidRPr="00AE64B4">
        <w:t>self-</w:t>
      </w:r>
      <w:r w:rsidR="000F130F" w:rsidRPr="00AE64B4">
        <w:t xml:space="preserve">interrupt their work </w:t>
      </w:r>
      <w:r w:rsidR="00B26DB3" w:rsidRPr="00AE64B4">
        <w:t>for unrelated activities</w:t>
      </w:r>
      <w:r w:rsidR="00C8298C">
        <w:t xml:space="preserve"> </w:t>
      </w:r>
      <w:r w:rsidR="00C8298C">
        <w:fldChar w:fldCharType="begin" w:fldLock="1"/>
      </w:r>
      <w:r w:rsidR="00C8298C">
        <w:instrText>ADDIN CSL_CITATION { "citationItems" : [ { "id" : "ITEM-1", "itemData" : { "ISBN" : "9781605582467", "author" : [ { "dropping-particle" : "", "family" : "Jin", "given" : "Jing", "non-dropping-particle" : "", "parse-names" : false, "suffix" : "" }, { "dropping-particle" : "", "family" : "Dabbish", "given" : "Laura A", "non-dropping-particle" : "", "parse-names" : false, "suffix" : "" } ], "container-title" : "CHI 2009", "id" : "ITEM-1", "issued" : { "date-parts" : [ [ "2009" ] ] }, "page" : "1799-1808", "title" : "Self-Interruption on the Computer : A Typology of Discretionary Task Interleaving", "type" : "paper-conference" }, "uris" : [ "http://www.mendeley.com/documents/?uuid=3755ce60-f640-4b29-b218-faf3cb377524" ] } ], "mendeley" : { "formattedCitation" : "(Jin &amp; Dabbish, 2009)", "plainTextFormattedCitation" : "(Jin &amp; Dabbish, 2009)", "previouslyFormattedCitation" : "(Jin &amp; Dabbish, 2009)" }, "properties" : {  }, "schema" : "https://github.com/citation-style-language/schema/raw/master/csl-citation.json" }</w:instrText>
      </w:r>
      <w:r w:rsidR="00C8298C">
        <w:fldChar w:fldCharType="separate"/>
      </w:r>
      <w:r w:rsidR="00C8298C" w:rsidRPr="00C8298C">
        <w:rPr>
          <w:noProof/>
        </w:rPr>
        <w:t>(Jin &amp; Dabbish, 2009)</w:t>
      </w:r>
      <w:r w:rsidR="00C8298C">
        <w:fldChar w:fldCharType="end"/>
      </w:r>
      <w:r w:rsidR="000F130F" w:rsidRPr="00AE64B4">
        <w:t xml:space="preserve">. </w:t>
      </w:r>
    </w:p>
    <w:p w14:paraId="0500D936" w14:textId="317963CC" w:rsidR="002551EF" w:rsidRPr="002B69FB" w:rsidRDefault="001B1897" w:rsidP="00770827">
      <w:pPr>
        <w:pStyle w:val="Paragraph"/>
      </w:pPr>
      <w:r w:rsidRPr="002B69FB">
        <w:t xml:space="preserve">In order to </w:t>
      </w:r>
      <w:r w:rsidR="000529E2" w:rsidRPr="002B69FB">
        <w:t xml:space="preserve">improve focus and </w:t>
      </w:r>
      <w:r w:rsidR="00045A3C" w:rsidRPr="002B69FB">
        <w:t>mitigate self-interruptions</w:t>
      </w:r>
      <w:r w:rsidRPr="002B69FB">
        <w:t>,</w:t>
      </w:r>
      <w:r w:rsidR="00C35C93">
        <w:t xml:space="preserve"> Kim, Cho and Lee</w:t>
      </w:r>
      <w:r w:rsidR="009F6E57">
        <w:t xml:space="preserve"> </w:t>
      </w:r>
      <w:r w:rsidR="009F6E57">
        <w:fldChar w:fldCharType="begin" w:fldLock="1"/>
      </w:r>
      <w:r w:rsidR="00C35C93">
        <w:instrText>ADDIN CSL_CITATION { "citationItems" : [ { "id" : "ITEM-1", "itemData" : { "DOI" : "10.1145/3130932", "abstract" : "The interruptions people experience may be initiated from digital devices but also from oneself, an action which is termed \" self-interruption. \" Prior work mostly focused on understanding work-related self-interruptions and designing tools for mitigating them in work contexts. However, self-interruption to off-tasks (e.g., viewing social networking sites, and playing mobile games) has received little attention in the HCI community thus far. We conducted a formative study about self-interruptions to off-tasks and coping strategies in multi-device working environments. Off-task usage was considered a serious roadblock to productivity, and yet, the habitual usage and negative triggers made it challenging to manage off-task usage. To mitigate these concerns, we developed \" PomodoLock, \" a self-interruption management tool that allows users voluntarily to set a timer for a fixed period, during which it selectively blocks interruption sources across multiple devices. To understand the effect of restricting access to self-interruptive sources such as applications and websites, we conducted a three-week field trial (n=40) where participants were asked to identify disrupting apps and sites to be blocked, but the multi-device blocking feature was only provided to the experimental group. Our study results showed the perceived coercion and the stress of the experimental group were lower despite its behavioral restriction with multi-device blocking. Qualitative study results from interviews and surveys confirm that multi-device blocking significantly reduced participants' mental effort for managing self-interruptions, thereby leading to a reduction in the overall stress level. The findings suggest that when the coerciveness of behavioral restriction is appropriately controlled, coercive design can positively assist users in achieving their goals.", "author" : [ { "dropping-particle" : "", "family" : "Kim", "given" : "Jaejeung", "non-dropping-particle" : "", "parse-names" : false, "suffix" : "" }, { "dropping-particle" : "", "family" : "Cho", "given" : "Kaist Chiwoo", "non-dropping-particle" : "", "parse-names" : false, "suffix" : "" }, { "dropping-particle" : "", "family" : "Lee", "given" : "Kaist Uichin", "non-dropping-particle" : "", "parse-names" : false, "suffix" : "" } ], "container-title" : "Proc. ACM Interact. Mob. Wearable Ubiquitous Technol", "id" : "ITEM-1", "issue" : "21", "issued" : { "date-parts" : [ [ "2017" ] ] }, "title" : "Technology Supported Behavior Restriction for Mitigating Self-Interruptions in Multi-device Environments", "type" : "article-journal", "volume" : "1" }, "suppress-author" : 1, "uris" : [ "http://www.mendeley.com/documents/?uuid=778fc1a1-f411-35b3-88c7-91a513b71a0c" ] } ], "mendeley" : { "formattedCitation" : "(2017)", "plainTextFormattedCitation" : "(2017)", "previouslyFormattedCitation" : "(2017)" }, "properties" : {  }, "schema" : "https://github.com/citation-style-language/schema/raw/master/csl-citation.json" }</w:instrText>
      </w:r>
      <w:r w:rsidR="009F6E57">
        <w:fldChar w:fldCharType="separate"/>
      </w:r>
      <w:r w:rsidR="00C35C93" w:rsidRPr="00C35C93">
        <w:rPr>
          <w:noProof/>
        </w:rPr>
        <w:t>(2017)</w:t>
      </w:r>
      <w:r w:rsidR="009F6E57">
        <w:fldChar w:fldCharType="end"/>
      </w:r>
      <w:r w:rsidR="002B69FB">
        <w:t xml:space="preserve"> </w:t>
      </w:r>
      <w:r w:rsidRPr="002B69FB">
        <w:t>developed</w:t>
      </w:r>
      <w:r w:rsidR="007C56B3" w:rsidRPr="002B69FB">
        <w:t xml:space="preserve"> an intervention</w:t>
      </w:r>
      <w:r w:rsidRPr="002B69FB">
        <w:t xml:space="preserve"> that </w:t>
      </w:r>
      <w:r w:rsidR="005A0D14" w:rsidRPr="002B69FB">
        <w:t>allow</w:t>
      </w:r>
      <w:r w:rsidR="00214922" w:rsidRPr="002B69FB">
        <w:t>ed</w:t>
      </w:r>
      <w:r w:rsidR="005A0D14" w:rsidRPr="002B69FB">
        <w:t xml:space="preserve"> people to </w:t>
      </w:r>
      <w:r w:rsidRPr="002B69FB">
        <w:t>temporarily</w:t>
      </w:r>
      <w:r w:rsidR="00654D3E" w:rsidRPr="002B69FB">
        <w:t xml:space="preserve"> </w:t>
      </w:r>
      <w:r w:rsidR="00045A3C" w:rsidRPr="002B69FB">
        <w:t>block s</w:t>
      </w:r>
      <w:r w:rsidR="00946460" w:rsidRPr="002B69FB">
        <w:t>pecific sources</w:t>
      </w:r>
      <w:r w:rsidR="00C467C9">
        <w:t xml:space="preserve"> that they considered distracting</w:t>
      </w:r>
      <w:r w:rsidR="00946460" w:rsidRPr="002B69FB">
        <w:t>, such as email</w:t>
      </w:r>
      <w:r w:rsidR="00C467C9">
        <w:t>, IM applications</w:t>
      </w:r>
      <w:r w:rsidR="00946460" w:rsidRPr="002B69FB">
        <w:t xml:space="preserve"> and </w:t>
      </w:r>
      <w:r w:rsidR="00045A3C" w:rsidRPr="002B69FB">
        <w:t>social media</w:t>
      </w:r>
      <w:r w:rsidR="00214922" w:rsidRPr="002B69FB">
        <w:t xml:space="preserve">. </w:t>
      </w:r>
      <w:r w:rsidR="00DA53AC" w:rsidRPr="002B69FB">
        <w:t xml:space="preserve">However </w:t>
      </w:r>
      <w:r w:rsidR="00ED5B68" w:rsidRPr="002B69FB">
        <w:t>often</w:t>
      </w:r>
      <w:r w:rsidR="00DA53AC" w:rsidRPr="002B69FB">
        <w:t xml:space="preserve"> </w:t>
      </w:r>
      <w:r w:rsidR="00C467C9">
        <w:t xml:space="preserve">these sources </w:t>
      </w:r>
      <w:r w:rsidR="00B914F1" w:rsidRPr="002B69FB">
        <w:t xml:space="preserve">then needed to be accessed </w:t>
      </w:r>
      <w:r w:rsidR="006A69CE">
        <w:t xml:space="preserve">after all </w:t>
      </w:r>
      <w:r w:rsidR="00B914F1" w:rsidRPr="002B69FB">
        <w:t>for the task they were working on</w:t>
      </w:r>
      <w:r w:rsidR="00DA53AC" w:rsidRPr="002B69FB">
        <w:t xml:space="preserve">. </w:t>
      </w:r>
      <w:r w:rsidR="00644293" w:rsidRPr="002B69FB">
        <w:t>Other</w:t>
      </w:r>
      <w:r w:rsidR="008F342F" w:rsidRPr="002B69FB">
        <w:t xml:space="preserve"> </w:t>
      </w:r>
      <w:r w:rsidR="00E628DA" w:rsidRPr="002B69FB">
        <w:t>commercial</w:t>
      </w:r>
      <w:r w:rsidR="00D7762F" w:rsidRPr="002B69FB">
        <w:t xml:space="preserve"> </w:t>
      </w:r>
      <w:r w:rsidR="003F5FAD" w:rsidRPr="002B69FB">
        <w:t>applications</w:t>
      </w:r>
      <w:r w:rsidR="00644293" w:rsidRPr="002B69FB">
        <w:t xml:space="preserve"> </w:t>
      </w:r>
      <w:r w:rsidR="00E3453B" w:rsidRPr="002B69FB">
        <w:t xml:space="preserve">do not block </w:t>
      </w:r>
      <w:r w:rsidR="00147F02" w:rsidRPr="002B69FB">
        <w:t>sources</w:t>
      </w:r>
      <w:r w:rsidR="00E3453B" w:rsidRPr="002B69FB">
        <w:t xml:space="preserve"> but instead</w:t>
      </w:r>
      <w:r w:rsidR="003F5FAD" w:rsidRPr="002B69FB">
        <w:t xml:space="preserve"> </w:t>
      </w:r>
      <w:r w:rsidR="00084169" w:rsidRPr="002B69FB">
        <w:t>provide</w:t>
      </w:r>
      <w:r w:rsidR="00D7762F" w:rsidRPr="002B69FB">
        <w:t xml:space="preserve"> </w:t>
      </w:r>
      <w:r w:rsidR="00084169" w:rsidRPr="002B69FB">
        <w:t xml:space="preserve">users an overview </w:t>
      </w:r>
      <w:r w:rsidR="008F342F" w:rsidRPr="002B69FB">
        <w:t>of their computer activities</w:t>
      </w:r>
      <w:r w:rsidR="00084169" w:rsidRPr="002B69FB">
        <w:t>, to reflect</w:t>
      </w:r>
      <w:r w:rsidR="00D7762F" w:rsidRPr="002B69FB">
        <w:t xml:space="preserve"> how much time they spend in total </w:t>
      </w:r>
      <w:r w:rsidR="00C467C9">
        <w:t xml:space="preserve">on tasks, and </w:t>
      </w:r>
      <w:r w:rsidR="00D7762F" w:rsidRPr="002B69FB">
        <w:t xml:space="preserve">certain </w:t>
      </w:r>
      <w:r w:rsidR="00846959" w:rsidRPr="002B69FB">
        <w:t>sources</w:t>
      </w:r>
      <w:r w:rsidR="00D175B9">
        <w:t xml:space="preserve"> </w:t>
      </w:r>
      <w:r w:rsidR="00EA55BE">
        <w:fldChar w:fldCharType="begin" w:fldLock="1"/>
      </w:r>
      <w:r w:rsidR="00DF4509">
        <w:instrText>ADDIN CSL_CITATION { "citationItems" : [ { "id" : "ITEM-1", "itemData" : { "URL" : "https://www.rescuetime.com", "accessed" : { "date-parts" : [ [ "2018", "1", "9" ] ] }, "id" : "ITEM-1", "issued" : { "date-parts" : [ [ "2018" ] ] }, "title" : "RescueTime", "type" : "webpage" }, "uris" : [ "http://www.mendeley.com/documents/?uuid=4a42c9c2-5c27-4ecd-a8e5-23cda83e6023" ] }, { "id" : "ITEM-2", "itemData" : { "URL" : "https://www.manictime.com", "accessed" : { "date-parts" : [ [ "2018", "1", "9" ] ] }, "id" : "ITEM-2", "issued" : { "date-parts" : [ [ "2018" ] ] }, "title" : "ManicTime", "type" : "webpage" }, "uris" : [ "http://www.mendeley.com/documents/?uuid=82076081-7808-4020-b57f-ce4b6bc18cb8" ] } ], "mendeley" : { "formattedCitation" : "(\u201cManicTime,\u201d 2018, \u201cRescueTime,\u201d 2018)", "plainTextFormattedCitation" : "(\u201cManicTime,\u201d 2018, \u201cRescueTime,\u201d 2018)", "previouslyFormattedCitation" : "(\u201cManicTime,\u201d n.d., \u201cRescueTime,\u201d n.d.)" }, "properties" : {  }, "schema" : "https://github.com/citation-style-language/schema/raw/master/csl-citation.json" }</w:instrText>
      </w:r>
      <w:r w:rsidR="00EA55BE">
        <w:fldChar w:fldCharType="separate"/>
      </w:r>
      <w:r w:rsidR="00DF4509" w:rsidRPr="00DF4509">
        <w:rPr>
          <w:noProof/>
        </w:rPr>
        <w:t>(“ManicTime,” 2018, “RescueTime,” 2018)</w:t>
      </w:r>
      <w:r w:rsidR="00EA55BE">
        <w:fldChar w:fldCharType="end"/>
      </w:r>
      <w:r w:rsidR="00EA55BE">
        <w:t xml:space="preserve">. </w:t>
      </w:r>
      <w:r w:rsidR="00CD65DF" w:rsidRPr="002B69FB">
        <w:t>However,</w:t>
      </w:r>
      <w:r w:rsidR="009D462F" w:rsidRPr="002B69FB">
        <w:t xml:space="preserve"> as these tools provide information of past usage,</w:t>
      </w:r>
      <w:r w:rsidR="00084169" w:rsidRPr="002B69FB">
        <w:t xml:space="preserve"> it</w:t>
      </w:r>
      <w:r w:rsidR="001F7736" w:rsidRPr="002B69FB">
        <w:t xml:space="preserve"> is often not clear </w:t>
      </w:r>
      <w:r w:rsidR="0043496F" w:rsidRPr="002B69FB">
        <w:t>to</w:t>
      </w:r>
      <w:r w:rsidR="001F7736" w:rsidRPr="002B69FB">
        <w:t xml:space="preserve"> users </w:t>
      </w:r>
      <w:r w:rsidR="0043496F" w:rsidRPr="002B69FB">
        <w:t xml:space="preserve">what they </w:t>
      </w:r>
      <w:r w:rsidR="001F7736" w:rsidRPr="002B69FB">
        <w:t>have to</w:t>
      </w:r>
      <w:r w:rsidR="00084169" w:rsidRPr="002B69FB">
        <w:t xml:space="preserve"> do with the data</w:t>
      </w:r>
      <w:r w:rsidR="00EA55BE">
        <w:t xml:space="preserve"> </w:t>
      </w:r>
      <w:r w:rsidR="00EA55BE">
        <w:fldChar w:fldCharType="begin" w:fldLock="1"/>
      </w:r>
      <w:r w:rsidR="00EA55BE">
        <w:instrText>ADDIN CSL_CITATION { "citationItems" : [ { "id" : "ITEM-1", "itemData" : { "DOI" : "10.1145/2686612.2686668", "ISBN" : "9781450306539", "abstract" : "Technology helps us get work done but also provides many distractions. As a result, seemingly unproductive activities such as social networking sites (SNS) cause considerable stress. This paper reports a series of studies into whether personal informatics (PI) tools for productivity can make people more aware of their SNS usage and encourage behaviour change. The first two studies took an in-the-wild approach, encouraging students to use a PI tool, RescueTime, to improve their estimations of how much time they spent using SNS, in line with research that had used this technique to reduce However, participants simply did not engage with RescueTime in the studies. A further interview study found that there are four barriers that inhibit engagement with this PI tool and reduce its potential to facilitate behaviour change. In particular, the way it presents data lacks: salience; contextual information; credibility; and action advice. INTRODUCTION The ubiquity of modern technologies has revolutionised how people complete daily tasks. Individuals are more reliant on computers than ever before, and while this has made a number of activities easier and quicker, it has also increased the opportunities for interruption. Not only can individuals be actively notified of incoming information in the form of e-mails and instant messages, but they also have easy access to a number of other sources of distraction. While in some workplaces, internet access may be restricted or monitored, thus removing the temptation to access distractions such as social networking sites (SNS), this is not the case for students. Like knowledge workers, their productivity relies heavily on their own time management and therefore distractions by anything deemed to be unproductive may be especially stressful.", "author" : [ { "dropping-particle" : "", "family" : "Collins", "given" : "Emily I. M.", "non-dropping-particle" : "", "parse-names" : false, "suffix" : "" }, { "dropping-particle" : "", "family" : "Cox", "given" : "Anna L.", "non-dropping-particle" : "", "parse-names" : false, "suffix" : "" }, { "dropping-particle" : "", "family" : "Bird", "given" : "Jon", "non-dropping-particle" : "", "parse-names" : false, "suffix" : "" }, { "dropping-particle" : "", "family" : "Cornish-Tresstail", "given" : "Cassie", "non-dropping-particle" : "", "parse-names" : false, "suffix" : "" } ], "container-title" : "Proceedings of the 26th Australian Computer-Human Interaction Conference on Designing Futures the Future of Design - OzCHI '14", "id" : "ITEM-1", "issued" : { "date-parts" : [ [ "2014" ] ] }, "page" : "370-379", "title" : "Barriers to engagement with a personal informatics productivity tool", "type" : "article-journal" }, "uris" : [ "http://www.mendeley.com/documents/?uuid=b7ab628b-b387-4509-9fe8-e4dcd98aaca0" ] } ], "mendeley" : { "formattedCitation" : "(Collins, Cox, Bird, &amp; Cornish-Tresstail, 2014)", "plainTextFormattedCitation" : "(Collins, Cox, Bird, &amp; Cornish-Tresstail, 2014)", "previouslyFormattedCitation" : "(Collins, Cox, Bird, &amp; Cornish-Tresstail, 2014)" }, "properties" : {  }, "schema" : "https://github.com/citation-style-language/schema/raw/master/csl-citation.json" }</w:instrText>
      </w:r>
      <w:r w:rsidR="00EA55BE">
        <w:fldChar w:fldCharType="separate"/>
      </w:r>
      <w:r w:rsidR="00EA55BE" w:rsidRPr="00EA55BE">
        <w:rPr>
          <w:noProof/>
        </w:rPr>
        <w:t>(Collins, Cox, Bird, &amp; Cornish-Tresstail, 2014)</w:t>
      </w:r>
      <w:r w:rsidR="00EA55BE">
        <w:fldChar w:fldCharType="end"/>
      </w:r>
      <w:r w:rsidR="00EA55BE">
        <w:t xml:space="preserve">, </w:t>
      </w:r>
      <w:r w:rsidR="00084169" w:rsidRPr="002B69FB">
        <w:t>and there</w:t>
      </w:r>
      <w:r w:rsidR="004C0DA6" w:rsidRPr="002B69FB">
        <w:t xml:space="preserve"> is little evidence</w:t>
      </w:r>
      <w:r w:rsidR="00E3453B" w:rsidRPr="002B69FB">
        <w:t xml:space="preserve"> </w:t>
      </w:r>
      <w:r w:rsidR="00084169" w:rsidRPr="002B69FB">
        <w:t xml:space="preserve">of their effectiveness </w:t>
      </w:r>
      <w:r w:rsidR="00E3453B" w:rsidRPr="002B69FB">
        <w:t>in improving focus</w:t>
      </w:r>
      <w:r w:rsidR="00EA55BE">
        <w:t xml:space="preserve"> </w:t>
      </w:r>
      <w:r w:rsidR="00EA55BE">
        <w:fldChar w:fldCharType="begin" w:fldLock="1"/>
      </w:r>
      <w:r w:rsidR="0021615C">
        <w:instrText>ADDIN CSL_CITATION { "citationItems" : [ { "id" : "ITEM-1", "itemData" : { "ISBN" : "9781450333627", "author" : [ { "dropping-particle" : "", "family" : "Whittaker", "given" : "Steve", "non-dropping-particle" : "", "parse-names" : false, "suffix" : "" }, { "dropping-particle" : "", "family" : "Hollis", "given" : "Victoria", "non-dropping-particle" : "", "parse-names" : false, "suffix" : "" }, { "dropping-particle" : "", "family" : "Guydish", "given" : "Andrew", "non-dropping-particle" : "", "parse-names" : false, "suffix" : "" } ], "container-title" : "Proceedings of the SIGCHI Conference on Human Factors in Computing Systems (CHI 16)", "id" : "ITEM-1", "issued" : { "date-parts" : [ [ "2016" ] ] }, "page" : "1729-1738", "publisher-place" : "San Jose, CA, USA", "title" : "'Don't Waste My Time \u2019: Use of Time Information Improves Focus", "type" : "paper-conference" }, "uris" : [ "http://www.mendeley.com/documents/?uuid=ae8bfa72-b3a2-403f-b63a-69d54ecd5d9c" ] } ], "mendeley" : { "formattedCitation" : "(Whittaker, Hollis, &amp; Guydish, 2016)", "plainTextFormattedCitation" : "(Whittaker, Hollis, &amp; Guydish, 2016)", "previouslyFormattedCitation" : "(Whittaker, Hollis, &amp; Guydish, 2016)" }, "properties" : {  }, "schema" : "https://github.com/citation-style-language/schema/raw/master/csl-citation.json" }</w:instrText>
      </w:r>
      <w:r w:rsidR="00EA55BE">
        <w:fldChar w:fldCharType="separate"/>
      </w:r>
      <w:r w:rsidR="00EA55BE" w:rsidRPr="00EA55BE">
        <w:rPr>
          <w:noProof/>
        </w:rPr>
        <w:t>(Whittaker, Hollis, &amp; Guydish, 2016)</w:t>
      </w:r>
      <w:r w:rsidR="00EA55BE">
        <w:fldChar w:fldCharType="end"/>
      </w:r>
      <w:r w:rsidR="00E3453B" w:rsidRPr="002B69FB">
        <w:t>.</w:t>
      </w:r>
      <w:r w:rsidR="0081379B" w:rsidRPr="002B69FB">
        <w:t xml:space="preserve"> </w:t>
      </w:r>
      <w:r w:rsidR="00C35C93">
        <w:t xml:space="preserve">Gould, Cox and Brumby </w:t>
      </w:r>
      <w:r w:rsidR="00C35C93">
        <w:fldChar w:fldCharType="begin" w:fldLock="1"/>
      </w:r>
      <w:r w:rsidR="00C35C93">
        <w:instrText>ADDIN CSL_CITATION { "citationItems" : [ { "id" : "ITEM-1", "itemData" : { "DOI" : "10.1145/2928269", "ISSN" : "15577325", "author" : [ { "dropping-particle" : "", "family" : "Gould", "given" : "Sandy J.J.", "non-dropping-particle" : "", "parse-names" : false, "suffix" : "" }, { "dropping-particle" : "", "family" : "Cox", "given" : "Anna L.", "non-dropping-particle" : "", "parse-names" : false, "suffix" : "" }, { "dropping-particle" : "", "family" : "Brumby", "given" : "Duncan P.", "non-dropping-particle" : "", "parse-names" : false, "suffix" : "" } ], "id" : "ITEM-1", "issue" : "3", "issued" : { "date-parts" : [ [ "2016" ] ] }, "page" : "1-27", "title" : "Diminished Control in Crowdsourcing: An Investigation of Crowdworker Multitasking Behavior  ", "type" : "article-journal", "volume" : "23" }, "suppress-author" : 1, "uris" : [ "http://www.mendeley.com/documents/?uuid=ca9f9432-c750-4dd2-9733-644b4507b50a" ] } ], "mendeley" : { "formattedCitation" : "(2016)", "plainTextFormattedCitation" : "(2016)", "previouslyFormattedCitation" : "(2016)" }, "properties" : {  }, "schema" : "https://github.com/citation-style-language/schema/raw/master/csl-citation.json" }</w:instrText>
      </w:r>
      <w:r w:rsidR="00C35C93">
        <w:fldChar w:fldCharType="separate"/>
      </w:r>
      <w:r w:rsidR="00C35C93" w:rsidRPr="00C35C93">
        <w:rPr>
          <w:noProof/>
        </w:rPr>
        <w:t>(2016)</w:t>
      </w:r>
      <w:r w:rsidR="00C35C93">
        <w:fldChar w:fldCharType="end"/>
      </w:r>
      <w:r w:rsidR="00A52998">
        <w:t xml:space="preserve"> </w:t>
      </w:r>
      <w:r w:rsidR="007B2C50" w:rsidRPr="002B69FB">
        <w:t xml:space="preserve">looked at </w:t>
      </w:r>
      <w:r w:rsidR="008072D1">
        <w:t>switching</w:t>
      </w:r>
      <w:r w:rsidR="00C22616" w:rsidRPr="002B69FB">
        <w:t xml:space="preserve"> behaviour during online </w:t>
      </w:r>
      <w:r w:rsidR="008A0857" w:rsidRPr="002B69FB">
        <w:t>crowdsourcing work</w:t>
      </w:r>
      <w:r w:rsidR="00C22616" w:rsidRPr="002B69FB">
        <w:t>,</w:t>
      </w:r>
      <w:r w:rsidR="008A0857" w:rsidRPr="002B69FB">
        <w:t xml:space="preserve"> and </w:t>
      </w:r>
      <w:r w:rsidR="00692041" w:rsidRPr="002B69FB">
        <w:t>found that</w:t>
      </w:r>
      <w:r w:rsidR="005A0842" w:rsidRPr="002B69FB">
        <w:t xml:space="preserve"> </w:t>
      </w:r>
      <w:r w:rsidR="007A6279" w:rsidRPr="002B69FB">
        <w:t>an interventio</w:t>
      </w:r>
      <w:r w:rsidR="000864D0" w:rsidRPr="002B69FB">
        <w:t xml:space="preserve">n </w:t>
      </w:r>
      <w:r w:rsidR="009C21F7">
        <w:t xml:space="preserve">during work that encouraged </w:t>
      </w:r>
      <w:r w:rsidR="000864D0" w:rsidRPr="002B69FB">
        <w:t xml:space="preserve">people to stay focused </w:t>
      </w:r>
      <w:r w:rsidR="00FC5DBC" w:rsidRPr="002B69FB">
        <w:t xml:space="preserve">after </w:t>
      </w:r>
      <w:r w:rsidR="008072D1">
        <w:t xml:space="preserve">people had interrupted </w:t>
      </w:r>
      <w:r w:rsidR="007A6279" w:rsidRPr="002B69FB">
        <w:t xml:space="preserve">reduced number of </w:t>
      </w:r>
      <w:r w:rsidR="0009136B" w:rsidRPr="002B69FB">
        <w:t>switches</w:t>
      </w:r>
      <w:r w:rsidR="007A6279" w:rsidRPr="002B69FB">
        <w:t xml:space="preserve"> to </w:t>
      </w:r>
      <w:r w:rsidR="002815A3" w:rsidRPr="002B69FB">
        <w:t>unrelated</w:t>
      </w:r>
      <w:r w:rsidR="007A6279" w:rsidRPr="002B69FB">
        <w:t xml:space="preserve"> tasks</w:t>
      </w:r>
      <w:r w:rsidR="004306A9" w:rsidRPr="002B69FB">
        <w:t xml:space="preserve">. </w:t>
      </w:r>
      <w:r w:rsidR="0000597E" w:rsidRPr="002B69FB">
        <w:t xml:space="preserve">Recognising that switches </w:t>
      </w:r>
      <w:r w:rsidR="00B47058" w:rsidRPr="002B69FB">
        <w:t>occur as part of the task</w:t>
      </w:r>
      <w:r w:rsidR="00942911" w:rsidRPr="002B69FB">
        <w:t xml:space="preserve">, we consider whether the </w:t>
      </w:r>
      <w:r w:rsidR="0012126E" w:rsidRPr="002B69FB">
        <w:t xml:space="preserve">duration </w:t>
      </w:r>
      <w:r w:rsidR="00942911" w:rsidRPr="002B69FB">
        <w:t>of switches can be reduced</w:t>
      </w:r>
      <w:r w:rsidR="0014407F" w:rsidRPr="002B69FB">
        <w:t xml:space="preserve"> by giving people real-time feedback on how long they switch away for during </w:t>
      </w:r>
      <w:r w:rsidR="008816F3" w:rsidRPr="002B69FB">
        <w:t xml:space="preserve">a </w:t>
      </w:r>
      <w:r w:rsidR="0014407F" w:rsidRPr="002B69FB">
        <w:t>data entry task</w:t>
      </w:r>
      <w:r w:rsidR="00662CBA" w:rsidRPr="002B69FB">
        <w:t xml:space="preserve">. </w:t>
      </w:r>
      <w:r w:rsidR="00942911" w:rsidRPr="002B69FB">
        <w:t>This is important to consider</w:t>
      </w:r>
      <w:r w:rsidR="00BA1E23" w:rsidRPr="002B69FB">
        <w:t>, because the longer people interrupt, the</w:t>
      </w:r>
      <w:r w:rsidR="00513699" w:rsidRPr="002B69FB">
        <w:t xml:space="preserve"> more disruptive it is</w:t>
      </w:r>
      <w:r w:rsidR="00A52998">
        <w:t xml:space="preserve"> </w:t>
      </w:r>
      <w:r w:rsidR="00A52998">
        <w:fldChar w:fldCharType="begin" w:fldLock="1"/>
      </w:r>
      <w:r w:rsidR="00A52998">
        <w:instrText>ADDIN CSL_CITATION { "citationItems" : [ { "id" : "ITEM-1", "itemData" : { "DOI" : "10.1037/a0014402", "ISBN" : "1939-2192", "ISSN" : "1939-2192", "PMID" : "19102614", "abstract" : "The time to resume task goals after an interruption varied depending on the duration and cognitive demand of interruptions, as predicted by the memory for goals model (Altmann &amp; Trafton, 2002). Three experiments using an interleaved tasks interruption paradigm showed that longer and more demanding interruptions led to longer resumption times in a hierarchical, interactive task. The resumption time profile for durations up to 1 min supported the role of decay in defining resumption costs, and the interaction between duration and demand supported the importance of goal rehearsal in mitigating decay. These findings supported the memory for goals model, and had practical implications for context where tasks are frequently interleaved such as office settings, driving, emergency rooms, and aircraft cockpits.", "author" : [ { "dropping-particle" : "", "family" : "Monk", "given" : "Christopher A.", "non-dropping-particle" : "", "parse-names" : false, "suffix" : "" }, { "dropping-particle" : "", "family" : "Trafton", "given" : "J. Gregory", "non-dropping-particle" : "", "parse-names" : false, "suffix" : "" }, { "dropping-particle" : "", "family" : "Boehm-Davis", "given" : "Deborah A.", "non-dropping-particle" : "", "parse-names" : false, "suffix" : "" } ], "container-title" : "Journal of Experimental Psychology: Applied", "id" : "ITEM-1", "issue" : "4", "issued" : { "date-parts" : [ [ "2008" ] ] }, "page" : "299-313", "title" : "The effect of interruption duration and demand on resuming suspended goals.", "type" : "article-journal", "volume" : "14" }, "uris" : [ "http://www.mendeley.com/documents/?uuid=d17db185-1d17-4a57-a6e8-7598396b199f" ] } ], "mendeley" : { "formattedCitation" : "(Monk, Trafton, &amp; Boehm-Davis, 2008)", "plainTextFormattedCitation" : "(Monk, Trafton, &amp; Boehm-Davis, 2008)", "previouslyFormattedCitation" : "(Monk, Trafton, &amp; Boehm-Davis, 2008)" }, "properties" : {  }, "schema" : "https://github.com/citation-style-language/schema/raw/master/csl-citation.json" }</w:instrText>
      </w:r>
      <w:r w:rsidR="00A52998">
        <w:fldChar w:fldCharType="separate"/>
      </w:r>
      <w:r w:rsidR="00A52998" w:rsidRPr="00A52998">
        <w:rPr>
          <w:noProof/>
        </w:rPr>
        <w:t>(Monk, Trafton, &amp; Boehm-Davis, 2008)</w:t>
      </w:r>
      <w:r w:rsidR="00A52998">
        <w:fldChar w:fldCharType="end"/>
      </w:r>
      <w:r w:rsidR="00513699" w:rsidRPr="002B69FB">
        <w:t>,</w:t>
      </w:r>
      <w:r w:rsidR="00BA1E23" w:rsidRPr="002B69FB">
        <w:t xml:space="preserve"> </w:t>
      </w:r>
      <w:r w:rsidR="00513699" w:rsidRPr="002B69FB">
        <w:t xml:space="preserve">and the </w:t>
      </w:r>
      <w:r w:rsidR="00BA1E23" w:rsidRPr="002B69FB">
        <w:t>ha</w:t>
      </w:r>
      <w:r w:rsidR="00C44FD3" w:rsidRPr="002B69FB">
        <w:t>rder it is to resume a task</w:t>
      </w:r>
      <w:r w:rsidR="00A52998">
        <w:t xml:space="preserve"> </w:t>
      </w:r>
      <w:r w:rsidR="00A52998">
        <w:fldChar w:fldCharType="begin" w:fldLock="1"/>
      </w:r>
      <w:r w:rsidR="00A52998">
        <w:instrText>ADDIN CSL_CITATION { "citationItems" : [ { "id" : "ITEM-1", "itemData" : { "DOI" : "10.1037/xap0000117", "abstract" : "We investigated effects of task interruption on procedural performance, focusing on the effect of interruption length on the rates of different categories of error at the point of task resumption. Interruption length affected errors involving loss of place in the procedure (sequence errors) but not errors involving incorrect execution of a correct step (nonsequence errors), implicating memory for past performance, rather than generalized attentional resources, as the disrupted cognitive process. Within the category of sequence errors, interruption length produced a complex pattern of effects, with repetitions of the preinterruption step showing different effects than errors at other offsets from the correct step. A cognitive model we developed previously accounts for the results in terms of decay and rehearsal of memory for past performance and activation spreading through a procedural representation of task knowledge. The model links different types of errors to different cognitive processes, informs potential interventions, and predicts interruption effects for sequential tasks like problem solving and counting.",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Applied", "id" : "ITEM-1", "issued" : { "date-parts" : [ [ "2017" ] ] }, "title" : "Effects of Interruption Length on Procedural Errors", "type" : "article-journal" }, "uris" : [ "http://www.mendeley.com/documents/?uuid=e3a14320-1225-374e-91f2-bc887b065bcf" ] } ], "mendeley" : { "formattedCitation" : "(Altmann, Trafton, &amp; Hambrick, 2017)", "plainTextFormattedCitation" : "(Altmann, Trafton, &amp; Hambrick, 2017)", "previouslyFormattedCitation" : "(Altmann, Trafton, &amp; Hambrick, 2017)" }, "properties" : {  }, "schema" : "https://github.com/citation-style-language/schema/raw/master/csl-citation.json" }</w:instrText>
      </w:r>
      <w:r w:rsidR="00A52998">
        <w:fldChar w:fldCharType="separate"/>
      </w:r>
      <w:r w:rsidR="00A52998" w:rsidRPr="00A52998">
        <w:rPr>
          <w:noProof/>
        </w:rPr>
        <w:t>(Altmann, Trafton, &amp; Hambrick, 2017)</w:t>
      </w:r>
      <w:r w:rsidR="00A52998">
        <w:fldChar w:fldCharType="end"/>
      </w:r>
      <w:r w:rsidR="00C44FD3" w:rsidRPr="002B69FB">
        <w:t>.</w:t>
      </w:r>
    </w:p>
    <w:p w14:paraId="2BD3EB60" w14:textId="7AF909EF" w:rsidR="000618B1" w:rsidRPr="00081A56" w:rsidRDefault="00033E27" w:rsidP="006860CA">
      <w:pPr>
        <w:pStyle w:val="Paragraph"/>
      </w:pPr>
      <w:r w:rsidRPr="000618B1">
        <w:t>This study aims to investigate whether</w:t>
      </w:r>
      <w:r w:rsidR="004C1831" w:rsidRPr="000618B1">
        <w:t xml:space="preserve"> an intervention </w:t>
      </w:r>
      <w:r w:rsidR="00DF6408" w:rsidRPr="000618B1">
        <w:t>showing people how long they switch on average</w:t>
      </w:r>
      <w:r w:rsidR="00DF6408" w:rsidRPr="000618B1">
        <w:t xml:space="preserve"> </w:t>
      </w:r>
      <w:r w:rsidRPr="000618B1">
        <w:t xml:space="preserve">has an effect on </w:t>
      </w:r>
      <w:r w:rsidR="001361AF">
        <w:t>the duration and number of</w:t>
      </w:r>
      <w:r w:rsidRPr="000618B1">
        <w:t xml:space="preserve"> </w:t>
      </w:r>
      <w:r w:rsidR="00A20906" w:rsidRPr="000618B1">
        <w:t xml:space="preserve">switches </w:t>
      </w:r>
      <w:r w:rsidR="00D44A5C" w:rsidRPr="000618B1">
        <w:t>during a</w:t>
      </w:r>
      <w:r w:rsidR="00A20906" w:rsidRPr="000618B1">
        <w:t xml:space="preserve"> data entry task</w:t>
      </w:r>
      <w:r w:rsidRPr="000618B1">
        <w:t xml:space="preserve">. </w:t>
      </w:r>
      <w:r w:rsidR="006F26DD" w:rsidRPr="000618B1">
        <w:t>An online experiment was conducted where participants had to complete a data entry task.</w:t>
      </w:r>
      <w:r w:rsidR="0081379B" w:rsidRPr="000618B1">
        <w:t xml:space="preserve"> Participants had</w:t>
      </w:r>
      <w:r w:rsidR="00674E25">
        <w:t xml:space="preserve"> to enter numeric codes into a </w:t>
      </w:r>
      <w:r w:rsidR="0081379B" w:rsidRPr="000618B1">
        <w:t>form, which they had to retrieve from a message sent to their personal email</w:t>
      </w:r>
      <w:r w:rsidR="0061216F" w:rsidRPr="000618B1">
        <w:t>.</w:t>
      </w:r>
      <w:r w:rsidR="00BB6F73" w:rsidRPr="000618B1">
        <w:t xml:space="preserve"> We deliberately chose to prese</w:t>
      </w:r>
      <w:r w:rsidR="00360859" w:rsidRPr="000618B1">
        <w:t xml:space="preserve">nt the information as a </w:t>
      </w:r>
      <w:r w:rsidR="00931413" w:rsidRPr="000618B1">
        <w:t>message</w:t>
      </w:r>
      <w:r w:rsidR="00360859" w:rsidRPr="000618B1">
        <w:t xml:space="preserve"> in participants’ email inboxes</w:t>
      </w:r>
      <w:r w:rsidR="0061216F" w:rsidRPr="000618B1">
        <w:t>, as e</w:t>
      </w:r>
      <w:r w:rsidR="005D1E02" w:rsidRPr="000618B1">
        <w:t>mail</w:t>
      </w:r>
      <w:r w:rsidR="0061216F" w:rsidRPr="000618B1">
        <w:t xml:space="preserve"> </w:t>
      </w:r>
      <w:r w:rsidR="005D1E02" w:rsidRPr="000618B1">
        <w:t xml:space="preserve">is </w:t>
      </w:r>
      <w:r w:rsidR="00BB72FD" w:rsidRPr="000618B1">
        <w:t xml:space="preserve">an integral part of data entry work but </w:t>
      </w:r>
      <w:r w:rsidR="0061216F" w:rsidRPr="000618B1">
        <w:t xml:space="preserve">known to be a source of distraction, and people </w:t>
      </w:r>
      <w:r w:rsidR="000B7C76">
        <w:t xml:space="preserve">often </w:t>
      </w:r>
      <w:r w:rsidR="0061216F" w:rsidRPr="000618B1">
        <w:t>spend more time on it than originally intended</w:t>
      </w:r>
      <w:r w:rsidR="00131C36">
        <w:t xml:space="preserve"> </w:t>
      </w:r>
      <w:r w:rsidR="00131C36">
        <w:fldChar w:fldCharType="begin" w:fldLock="1"/>
      </w:r>
      <w:r w:rsidR="000B7C76">
        <w:instrText>ADDIN CSL_CITATION { "citationItems" : [ { "id" : "ITEM-1", "itemData" : { "DOI" : "10.1145/2702123.2702351", "abstract" : "In this paper we describe a study exploring why users spend more time in email than originally intended, which we call getting lost in email. To study this phenomenon, we imple-mented an IMAP logger that also dispatched diary entries to collect data for twenty participants over a two week period. Most participants reported getting lost in email during both short and long sessions. Our analysis suggests two primary factors in getting lost: the number of emails awaiting a re-ply and whether or not the session caused an interruption. We conclude that much of the problem around getting lost in email is in managing the tension between promptly respond-ing to messages while limiting engagement with email.", "author" : [ { "dropping-particle" : "V", "family" : "Hanrahan", "given" : "Benjamin", "non-dropping-particle" : "", "parse-names" : false, "suffix" : "" }, { "dropping-particle" : "", "family" : "P\u00e9rez-Qu", "given" : "Manuel A", "non-dropping-particle" : "", "parse-names" : false, "suffix" : "" } ], "container-title" : "CHI'15", "id" : "ITEM-1", "issued" : { "date-parts" : [ [ "2015" ] ] }, "page" : "3981-3984", "title" : "Lost in Email: Pulling Users Down a Path of Interaction", "type" : "paper-conference" }, "uris" : [ "http://www.mendeley.com/documents/?uuid=201e9f61-1cf7-3860-9e43-c12a28449b1e" ] }, { "id" : "ITEM-2", "itemData" : { "ISBN" : "9781450333627", "author" : [ { "dropping-particle" : "", "family" : "Mark", "given" : "Gloria", "non-dropping-particle" : "", "parse-names" : false, "suffix" : "" }, { "dropping-particle" : "", "family" : "Iqbal", "given" : "Shamsi T", "non-dropping-particle" : "", "parse-names" : false, "suffix" : "" }, { "dropping-particle" : "", "family" : "Czerwinski", "given" : "Mary", "non-dropping-particle" : "", "parse-names" : false, "suffix" : "" }, { "dropping-particle" : "", "family" : "Johns", "given" : "Paul", "non-dropping-particle" : "", "parse-names" : false, "suffix" : "" }, { "dropping-particle" : "", "family" : "Sano", "given" : "Akane", "non-dropping-particle" : "", "parse-names" : false, "suffix" : "" } ], "container-title" : "CHI 2016", "id" : "ITEM-2", "issued" : { "date-parts" : [ [ "2016" ] ] }, "title" : "Email duration, batching and self-interruption: Patterns of email use on productivity and stress", "type" : "paper-conference" }, "uris" : [ "http://www.mendeley.com/documents/?uuid=6e23e4df-2064-40da-b565-d6b67619760b" ] } ], "mendeley" : { "formattedCitation" : "(Hanrahan &amp; P\u00e9rez-Qu, 2015; Mark, Iqbal, Czerwinski, Johns, &amp; Sano, 2016)", "plainTextFormattedCitation" : "(Hanrahan &amp; P\u00e9rez-Qu, 2015; Mark, Iqbal, Czerwinski, Johns, &amp; Sano, 2016)", "previouslyFormattedCitation" : "(Hanrahan &amp; P\u00e9rez-Qu, 2015; Mark, Iqbal, Czerwinski, Johns, &amp; Sano, 2016)" }, "properties" : {  }, "schema" : "https://github.com/citation-style-language/schema/raw/master/csl-citation.json" }</w:instrText>
      </w:r>
      <w:r w:rsidR="00131C36">
        <w:fldChar w:fldCharType="separate"/>
      </w:r>
      <w:r w:rsidR="000B7C76" w:rsidRPr="000B7C76">
        <w:rPr>
          <w:noProof/>
        </w:rPr>
        <w:t>(Hanrahan &amp; Pérez-Qu, 2015; Mark, Iqbal, Czerwinski, Johns, &amp; Sano, 2016)</w:t>
      </w:r>
      <w:r w:rsidR="00131C36">
        <w:fldChar w:fldCharType="end"/>
      </w:r>
      <w:r w:rsidR="0081379B" w:rsidRPr="000618B1">
        <w:t xml:space="preserve">. </w:t>
      </w:r>
      <w:r w:rsidR="00AB481F" w:rsidRPr="000618B1">
        <w:t xml:space="preserve">We therefore expected </w:t>
      </w:r>
      <w:r w:rsidR="00931413" w:rsidRPr="000618B1">
        <w:t xml:space="preserve">it to have a </w:t>
      </w:r>
      <w:r w:rsidR="00550BA2" w:rsidRPr="000618B1">
        <w:t>distracting</w:t>
      </w:r>
      <w:r w:rsidR="00931413" w:rsidRPr="000618B1">
        <w:t xml:space="preserve"> effect </w:t>
      </w:r>
      <w:r w:rsidR="00C467C9">
        <w:t>during</w:t>
      </w:r>
      <w:r w:rsidR="00931413" w:rsidRPr="000618B1">
        <w:t xml:space="preserve"> the switches </w:t>
      </w:r>
      <w:r w:rsidR="00C467C9">
        <w:t>to look</w:t>
      </w:r>
      <w:r w:rsidR="00931413" w:rsidRPr="000618B1">
        <w:t xml:space="preserve"> up information. </w:t>
      </w:r>
      <w:r w:rsidR="00B91FD7">
        <w:t xml:space="preserve">Half of the participants received </w:t>
      </w:r>
      <w:r w:rsidR="00B91FD7" w:rsidRPr="00B91FD7">
        <w:t xml:space="preserve">feedback on the average length of their </w:t>
      </w:r>
      <w:r w:rsidR="00B91FD7">
        <w:t>switches</w:t>
      </w:r>
      <w:r w:rsidR="00B91FD7" w:rsidRPr="00B91FD7">
        <w:t xml:space="preserve"> through a </w:t>
      </w:r>
      <w:r w:rsidR="00B91FD7">
        <w:t xml:space="preserve">browser </w:t>
      </w:r>
      <w:r w:rsidR="00B91FD7" w:rsidRPr="00B91FD7">
        <w:t>notification.</w:t>
      </w:r>
      <w:r w:rsidR="00B91FD7">
        <w:t xml:space="preserve"> </w:t>
      </w:r>
      <w:r w:rsidR="0081379B" w:rsidRPr="000618B1">
        <w:t>Our results show that the experimental group who received a notification made shorter switche</w:t>
      </w:r>
      <w:r w:rsidR="00255599" w:rsidRPr="000618B1">
        <w:t xml:space="preserve">s than </w:t>
      </w:r>
      <w:r w:rsidR="0096700E">
        <w:t>the</w:t>
      </w:r>
      <w:r w:rsidR="00255599" w:rsidRPr="000618B1">
        <w:t xml:space="preserve"> co</w:t>
      </w:r>
      <w:r w:rsidR="00665777" w:rsidRPr="000618B1">
        <w:t xml:space="preserve">ntrol group. In addition, they completed the data entry task faster and made fewer data entry errors. </w:t>
      </w:r>
    </w:p>
    <w:p w14:paraId="7626C5A8" w14:textId="02BA4795" w:rsidR="00AB24E6" w:rsidRPr="005D6BD9" w:rsidRDefault="00AB24E6" w:rsidP="008005F1">
      <w:pPr>
        <w:pStyle w:val="Heading1"/>
      </w:pPr>
      <w:r w:rsidRPr="005D6BD9">
        <w:t>Method</w:t>
      </w:r>
    </w:p>
    <w:p w14:paraId="563DBCEB" w14:textId="2D050A67" w:rsidR="001E443F" w:rsidRPr="002E3639" w:rsidRDefault="001E443F" w:rsidP="008005F1">
      <w:pPr>
        <w:pStyle w:val="Heading2"/>
      </w:pPr>
      <w:r w:rsidRPr="002E3639">
        <w:t>Participants</w:t>
      </w:r>
    </w:p>
    <w:p w14:paraId="6D83F3C6" w14:textId="38EFD7EE" w:rsidR="00AB5EE9" w:rsidRDefault="00A86B7A" w:rsidP="00497E07">
      <w:pPr>
        <w:pStyle w:val="Paragraph"/>
        <w:ind w:firstLine="0"/>
      </w:pPr>
      <w:r>
        <w:t>Thirty-two</w:t>
      </w:r>
      <w:r w:rsidR="001E443F">
        <w:t xml:space="preserve"> participants </w:t>
      </w:r>
      <w:r w:rsidR="00D30599">
        <w:t xml:space="preserve">(19 women) </w:t>
      </w:r>
      <w:r w:rsidR="001E443F">
        <w:t xml:space="preserve">took part in the </w:t>
      </w:r>
      <w:r w:rsidR="000046B4">
        <w:t xml:space="preserve">online </w:t>
      </w:r>
      <w:r w:rsidR="001E443F">
        <w:t xml:space="preserve">experiment. </w:t>
      </w:r>
      <w:r w:rsidR="007704EA">
        <w:t xml:space="preserve">Ages ranged from </w:t>
      </w:r>
      <w:r w:rsidR="000E525B">
        <w:t xml:space="preserve">22 to 63 </w:t>
      </w:r>
      <w:r w:rsidR="00D52557">
        <w:t xml:space="preserve">(M = 29.7 years, SD = </w:t>
      </w:r>
      <w:r w:rsidR="000E525B">
        <w:t>8.6 years</w:t>
      </w:r>
      <w:r w:rsidR="00D52557">
        <w:t xml:space="preserve">). </w:t>
      </w:r>
      <w:r>
        <w:t>The participants</w:t>
      </w:r>
      <w:r w:rsidR="001C3430">
        <w:t xml:space="preserve"> were recruited via university email lists</w:t>
      </w:r>
      <w:r w:rsidR="006F27A4">
        <w:t xml:space="preserve">, </w:t>
      </w:r>
      <w:r>
        <w:t>social media</w:t>
      </w:r>
      <w:r w:rsidR="001C3430">
        <w:t xml:space="preserve"> and </w:t>
      </w:r>
      <w:r w:rsidR="00701FDD">
        <w:t xml:space="preserve">online platforms to advertise academic studies. </w:t>
      </w:r>
    </w:p>
    <w:p w14:paraId="0DB30F20" w14:textId="2957ECEF" w:rsidR="00AB5EE9" w:rsidRPr="002E3639" w:rsidRDefault="00AB5EE9" w:rsidP="00497E07">
      <w:pPr>
        <w:pStyle w:val="Heading2"/>
      </w:pPr>
      <w:r w:rsidRPr="002E3639">
        <w:t>Design</w:t>
      </w:r>
    </w:p>
    <w:p w14:paraId="18E2594B" w14:textId="3834140E" w:rsidR="00F216FA" w:rsidRDefault="00AB24E6" w:rsidP="00883627">
      <w:pPr>
        <w:pStyle w:val="Paragraph"/>
        <w:ind w:firstLine="0"/>
      </w:pPr>
      <w:r>
        <w:t xml:space="preserve">The study </w:t>
      </w:r>
      <w:r w:rsidR="000046B4">
        <w:t>used</w:t>
      </w:r>
      <w:r>
        <w:t xml:space="preserve"> a between-participants design with one independent variable, a notification. </w:t>
      </w:r>
      <w:r w:rsidR="00DC32DE">
        <w:t xml:space="preserve">In the </w:t>
      </w:r>
      <w:r w:rsidR="00DC32DE" w:rsidRPr="00DC32DE">
        <w:rPr>
          <w:i/>
        </w:rPr>
        <w:t>control</w:t>
      </w:r>
      <w:r w:rsidR="00DC32DE">
        <w:t xml:space="preserve"> condition, participants did not receive a notification</w:t>
      </w:r>
      <w:r w:rsidR="00B46C96">
        <w:t xml:space="preserve">, but </w:t>
      </w:r>
      <w:r w:rsidR="004660C8">
        <w:t xml:space="preserve">switches away from the data entry window </w:t>
      </w:r>
      <w:r w:rsidR="00B46C96">
        <w:t>were recorded</w:t>
      </w:r>
      <w:r w:rsidR="00DC32DE">
        <w:t xml:space="preserve">. In the </w:t>
      </w:r>
      <w:r w:rsidR="00DC32DE" w:rsidRPr="00DC32DE">
        <w:rPr>
          <w:i/>
        </w:rPr>
        <w:t>notification</w:t>
      </w:r>
      <w:r w:rsidR="00DC32DE">
        <w:t xml:space="preserve"> condition, </w:t>
      </w:r>
      <w:r w:rsidR="00935243" w:rsidRPr="00935243">
        <w:t>participants</w:t>
      </w:r>
      <w:r w:rsidR="00935243">
        <w:t xml:space="preserve"> were shown a notification </w:t>
      </w:r>
      <w:r w:rsidR="00AE070E">
        <w:t>every time</w:t>
      </w:r>
      <w:r w:rsidR="003F5782">
        <w:t xml:space="preserve"> they completed a</w:t>
      </w:r>
      <w:r w:rsidR="00BA1E95">
        <w:t xml:space="preserve"> </w:t>
      </w:r>
      <w:r w:rsidR="004660C8">
        <w:t>trial</w:t>
      </w:r>
      <w:r w:rsidR="00935243">
        <w:t xml:space="preserve">. This notification showed how long on average they </w:t>
      </w:r>
      <w:r w:rsidR="00883627">
        <w:t>were</w:t>
      </w:r>
      <w:r w:rsidR="00935243">
        <w:t xml:space="preserve"> away for</w:t>
      </w:r>
      <w:r w:rsidR="009B1CDB">
        <w:t xml:space="preserve"> </w:t>
      </w:r>
      <w:r w:rsidR="00FD3595">
        <w:t>when switching</w:t>
      </w:r>
      <w:r w:rsidR="009B1CDB">
        <w:t xml:space="preserve"> away</w:t>
      </w:r>
      <w:r w:rsidR="00797D28">
        <w:t xml:space="preserve"> from the window,</w:t>
      </w:r>
      <w:r w:rsidR="00935243">
        <w:t xml:space="preserve"> before returning to the task.</w:t>
      </w:r>
      <w:r w:rsidR="00935243" w:rsidRPr="00935243">
        <w:t xml:space="preserve"> </w:t>
      </w:r>
      <w:r w:rsidR="007644C2" w:rsidRPr="00B46C96">
        <w:t xml:space="preserve">The purpose of this </w:t>
      </w:r>
      <w:r w:rsidR="007644C2">
        <w:t xml:space="preserve">notification was to see if the number and </w:t>
      </w:r>
      <w:r w:rsidR="00883627">
        <w:t>duration</w:t>
      </w:r>
      <w:r w:rsidR="007644C2">
        <w:t xml:space="preserve"> of switches </w:t>
      </w:r>
      <w:r w:rsidR="007644C2" w:rsidRPr="00B46C96">
        <w:t xml:space="preserve">could be reduced by </w:t>
      </w:r>
      <w:r w:rsidR="007644C2">
        <w:t>giving</w:t>
      </w:r>
      <w:r w:rsidR="007644C2" w:rsidRPr="00B46C96">
        <w:t xml:space="preserve"> participants </w:t>
      </w:r>
      <w:r w:rsidR="007644C2">
        <w:t xml:space="preserve">feedback on the </w:t>
      </w:r>
      <w:r w:rsidR="00883627">
        <w:t>time spent of on</w:t>
      </w:r>
      <w:r w:rsidR="007644C2">
        <w:t xml:space="preserve"> switches</w:t>
      </w:r>
      <w:r w:rsidR="007644C2" w:rsidRPr="00B46C96">
        <w:t>.</w:t>
      </w:r>
      <w:r w:rsidR="007644C2">
        <w:t xml:space="preserve"> </w:t>
      </w:r>
      <w:r w:rsidR="00654CAC">
        <w:t xml:space="preserve">Dependent variables were number and </w:t>
      </w:r>
      <w:r w:rsidR="00621DF4">
        <w:t>duration</w:t>
      </w:r>
      <w:r w:rsidR="00654CAC">
        <w:t xml:space="preserve"> of switches</w:t>
      </w:r>
      <w:r w:rsidR="00FE7327">
        <w:t xml:space="preserve"> away from the data entry interface</w:t>
      </w:r>
      <w:r w:rsidR="00654CAC">
        <w:t xml:space="preserve">, </w:t>
      </w:r>
      <w:r w:rsidR="002445B9">
        <w:t>trial</w:t>
      </w:r>
      <w:r w:rsidR="00654CAC">
        <w:t xml:space="preserve"> completion time, and data entry errors.</w:t>
      </w:r>
      <w:r w:rsidR="005A71A9">
        <w:t xml:space="preserve"> </w:t>
      </w:r>
      <w:r w:rsidR="005A71A9" w:rsidRPr="005A71A9">
        <w:t>Switching behavio</w:t>
      </w:r>
      <w:r w:rsidR="00C61A2F">
        <w:t>u</w:t>
      </w:r>
      <w:r w:rsidR="005A71A9" w:rsidRPr="005A71A9">
        <w:t xml:space="preserve">r was recorded </w:t>
      </w:r>
      <w:r w:rsidR="00C61A2F">
        <w:t>using</w:t>
      </w:r>
      <w:r w:rsidR="005A71A9" w:rsidRPr="005A71A9">
        <w:t xml:space="preserve"> JavaScript’s blur and focus </w:t>
      </w:r>
      <w:r w:rsidR="00C61A2F">
        <w:t>events</w:t>
      </w:r>
      <w:r w:rsidR="005A71A9" w:rsidRPr="005A71A9">
        <w:t xml:space="preserve">. These were triggered whenever a participant switched away from </w:t>
      </w:r>
      <w:r w:rsidR="00C907E7">
        <w:t>the</w:t>
      </w:r>
      <w:r w:rsidR="005A71A9" w:rsidRPr="005A71A9">
        <w:t xml:space="preserve"> </w:t>
      </w:r>
      <w:r w:rsidR="00C907E7">
        <w:t>data entry window</w:t>
      </w:r>
      <w:r w:rsidR="005A71A9" w:rsidRPr="005A71A9">
        <w:t xml:space="preserve">, whether to </w:t>
      </w:r>
      <w:r w:rsidR="00C907E7">
        <w:t>their email inbox</w:t>
      </w:r>
      <w:r w:rsidR="005A71A9" w:rsidRPr="005A71A9">
        <w:t xml:space="preserve"> or to a different </w:t>
      </w:r>
      <w:r w:rsidR="004572F4">
        <w:t xml:space="preserve">window or </w:t>
      </w:r>
      <w:r w:rsidR="005A71A9" w:rsidRPr="005A71A9">
        <w:t xml:space="preserve">application. </w:t>
      </w:r>
    </w:p>
    <w:p w14:paraId="6D0702F2" w14:textId="4CBAFFA6" w:rsidR="00BE723D" w:rsidRDefault="00F44890" w:rsidP="007C08EA">
      <w:pPr>
        <w:jc w:val="center"/>
      </w:pPr>
      <w:r>
        <w:rPr>
          <w:noProof/>
          <w:lang w:val="en-US"/>
        </w:rPr>
        <w:lastRenderedPageBreak/>
        <w:drawing>
          <wp:inline distT="0" distB="0" distL="0" distR="0" wp14:anchorId="3CEE519B" wp14:editId="30AA45F8">
            <wp:extent cx="5727700" cy="270002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entrysheet 2.png"/>
                    <pic:cNvPicPr/>
                  </pic:nvPicPr>
                  <pic:blipFill>
                    <a:blip r:embed="rId6">
                      <a:extLst>
                        <a:ext uri="{28A0092B-C50C-407E-A947-70E740481C1C}">
                          <a14:useLocalDpi xmlns:a14="http://schemas.microsoft.com/office/drawing/2010/main" val="0"/>
                        </a:ext>
                      </a:extLst>
                    </a:blip>
                    <a:stretch>
                      <a:fillRect/>
                    </a:stretch>
                  </pic:blipFill>
                  <pic:spPr>
                    <a:xfrm rot="10800000" flipH="1" flipV="1">
                      <a:off x="0" y="0"/>
                      <a:ext cx="5727700" cy="2700020"/>
                    </a:xfrm>
                    <a:prstGeom prst="rect">
                      <a:avLst/>
                    </a:prstGeom>
                  </pic:spPr>
                </pic:pic>
              </a:graphicData>
            </a:graphic>
          </wp:inline>
        </w:drawing>
      </w:r>
    </w:p>
    <w:p w14:paraId="7861C988" w14:textId="78F6974B" w:rsidR="00647B42" w:rsidRPr="00BE723D" w:rsidRDefault="00BE723D" w:rsidP="006C41C2">
      <w:pPr>
        <w:pStyle w:val="Caption"/>
      </w:pPr>
      <w:bookmarkStart w:id="0" w:name="_Ref503269927"/>
      <w:r>
        <w:t xml:space="preserve">Figure </w:t>
      </w:r>
      <w:fldSimple w:instr=" SEQ Figure \* ARABIC ">
        <w:r w:rsidR="00F44890">
          <w:rPr>
            <w:noProof/>
          </w:rPr>
          <w:t>1</w:t>
        </w:r>
      </w:fldSimple>
      <w:bookmarkEnd w:id="0"/>
      <w:r>
        <w:t>. The data entry task as shown in the browser. Participants had to enter the correct expense code for each expense.</w:t>
      </w:r>
    </w:p>
    <w:p w14:paraId="5D104BB7" w14:textId="77777777" w:rsidR="006C41C2" w:rsidRDefault="00D15522" w:rsidP="006C41C2">
      <w:pPr>
        <w:pStyle w:val="Paragraph"/>
        <w:keepNext/>
        <w:jc w:val="center"/>
      </w:pPr>
      <w:r>
        <w:rPr>
          <w:noProof/>
          <w:lang w:val="en-US"/>
        </w:rPr>
        <w:drawing>
          <wp:inline distT="0" distB="0" distL="0" distR="0" wp14:anchorId="244E6C05" wp14:editId="699EA977">
            <wp:extent cx="3206647" cy="360587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table.png"/>
                    <pic:cNvPicPr/>
                  </pic:nvPicPr>
                  <pic:blipFill>
                    <a:blip r:embed="rId7">
                      <a:extLst>
                        <a:ext uri="{28A0092B-C50C-407E-A947-70E740481C1C}">
                          <a14:useLocalDpi xmlns:a14="http://schemas.microsoft.com/office/drawing/2010/main" val="0"/>
                        </a:ext>
                      </a:extLst>
                    </a:blip>
                    <a:stretch>
                      <a:fillRect/>
                    </a:stretch>
                  </pic:blipFill>
                  <pic:spPr>
                    <a:xfrm>
                      <a:off x="0" y="0"/>
                      <a:ext cx="3218778" cy="3619518"/>
                    </a:xfrm>
                    <a:prstGeom prst="rect">
                      <a:avLst/>
                    </a:prstGeom>
                  </pic:spPr>
                </pic:pic>
              </a:graphicData>
            </a:graphic>
          </wp:inline>
        </w:drawing>
      </w:r>
    </w:p>
    <w:p w14:paraId="5A7D68DB" w14:textId="2FEA32A4" w:rsidR="00647B42" w:rsidRDefault="006C41C2" w:rsidP="006C41C2">
      <w:pPr>
        <w:pStyle w:val="Caption"/>
      </w:pPr>
      <w:bookmarkStart w:id="1" w:name="_Ref503270017"/>
      <w:bookmarkStart w:id="2" w:name="_Ref503275388"/>
      <w:r>
        <w:t xml:space="preserve">Figure </w:t>
      </w:r>
      <w:fldSimple w:instr=" SEQ Figure \* ARABIC ">
        <w:r w:rsidR="00F44890">
          <w:rPr>
            <w:noProof/>
          </w:rPr>
          <w:t>2</w:t>
        </w:r>
      </w:fldSimple>
      <w:bookmarkEnd w:id="1"/>
      <w:r>
        <w:t>. The table showing the expense types and corresponding codes, which was sent to participants in an email message.</w:t>
      </w:r>
      <w:bookmarkEnd w:id="2"/>
    </w:p>
    <w:p w14:paraId="3187FC71" w14:textId="77777777" w:rsidR="00F44890" w:rsidRDefault="00F44890" w:rsidP="00F44890">
      <w:pPr>
        <w:keepNext/>
        <w:jc w:val="center"/>
      </w:pPr>
      <w:r>
        <w:rPr>
          <w:noProof/>
          <w:lang w:val="en-US"/>
        </w:rPr>
        <w:drawing>
          <wp:inline distT="0" distB="0" distL="0" distR="0" wp14:anchorId="6F2DCFD7" wp14:editId="504AAEB2">
            <wp:extent cx="5727700" cy="267335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entrysheet2.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673350"/>
                    </a:xfrm>
                    <a:prstGeom prst="rect">
                      <a:avLst/>
                    </a:prstGeom>
                  </pic:spPr>
                </pic:pic>
              </a:graphicData>
            </a:graphic>
          </wp:inline>
        </w:drawing>
      </w:r>
    </w:p>
    <w:p w14:paraId="6F1F6857" w14:textId="2C240AC8" w:rsidR="00F44890" w:rsidRPr="00F44890" w:rsidRDefault="00F44890" w:rsidP="00F44890">
      <w:pPr>
        <w:pStyle w:val="Caption"/>
      </w:pPr>
      <w:bookmarkStart w:id="3" w:name="_Ref503275425"/>
      <w:r>
        <w:t xml:space="preserve">Figure </w:t>
      </w:r>
      <w:fldSimple w:instr=" SEQ Figure \* ARABIC ">
        <w:r>
          <w:rPr>
            <w:noProof/>
          </w:rPr>
          <w:t>3</w:t>
        </w:r>
      </w:fldSimple>
      <w:bookmarkEnd w:id="3"/>
      <w:r>
        <w:t xml:space="preserve">. The </w:t>
      </w:r>
      <w:r w:rsidR="00042193">
        <w:t>feedback</w:t>
      </w:r>
      <w:r>
        <w:t xml:space="preserve"> participants received on how long they are away</w:t>
      </w:r>
      <w:r w:rsidR="00F627CD">
        <w:t xml:space="preserve"> for</w:t>
      </w:r>
      <w:r>
        <w:t xml:space="preserve"> on average in the </w:t>
      </w:r>
      <w:r w:rsidRPr="00F44890">
        <w:rPr>
          <w:i/>
        </w:rPr>
        <w:t>notification</w:t>
      </w:r>
      <w:r>
        <w:t xml:space="preserve"> condition.</w:t>
      </w:r>
    </w:p>
    <w:p w14:paraId="3E8863C5" w14:textId="689FBE48" w:rsidR="00F216FA" w:rsidRPr="00FF3A76" w:rsidRDefault="00F216FA" w:rsidP="00497E07">
      <w:pPr>
        <w:pStyle w:val="Heading2"/>
      </w:pPr>
      <w:r w:rsidRPr="00FF3A76">
        <w:t>Materials</w:t>
      </w:r>
    </w:p>
    <w:p w14:paraId="53D153E5" w14:textId="3A50D3D5" w:rsidR="003A0524" w:rsidRDefault="003A0524" w:rsidP="00497E07">
      <w:pPr>
        <w:pStyle w:val="Paragraph"/>
        <w:ind w:firstLine="0"/>
      </w:pPr>
      <w:r>
        <w:t>The task used</w:t>
      </w:r>
      <w:r w:rsidR="003A46B3">
        <w:t xml:space="preserve"> was based on </w:t>
      </w:r>
      <w:r w:rsidR="00110EB3">
        <w:t>a common routine data entry task</w:t>
      </w:r>
      <w:r w:rsidR="00131C36">
        <w:t xml:space="preserve"> </w:t>
      </w:r>
      <w:r w:rsidR="003A46B3">
        <w:t xml:space="preserve">involving processing expenses </w:t>
      </w:r>
      <w:r w:rsidR="00131C36">
        <w:fldChar w:fldCharType="begin" w:fldLock="1"/>
      </w:r>
      <w:r w:rsidR="00131C36">
        <w:instrText>ADDIN CSL_CITATION { "citationItems" : [ { "id" : "ITEM-1", "itemData" : { "DOI" : "10.18420/ecscw2017-4", "author" : [ { "dropping-particle" : "", "family" : "Borghouts", "given" : "Judith", "non-dropping-particle" : "", "parse-names" : false, "suffix" : "" }, { "dropping-particle" : "", "family" : "Brumby", "given" : "Duncan P.", "non-dropping-particle" : "", "parse-names" : false, "suffix" : "" }, { "dropping-particle" : "", "family" : "Cox", "given" : "Anna L.", "non-dropping-particle" : "", "parse-names" : false, "suffix" : "" } ], "container-title" : "Proceedings of 15th European Conference on Computer-Supported Cooperative Work", "id" : "ITEM-1", "issued" : { "date-parts" : [ [ "2017" ] ] }, "publisher-place" : "Sheffield, UK", "title" : "Batching, Error Checking and Data Collecting : Understanding Data Entry in a Financial Office", "type" : "paper-conference" }, "uris" : [ "http://www.mendeley.com/documents/?uuid=e5b96d49-dfed-4554-85a3-e68d5ea651d3" ] } ], "mendeley" : { "formattedCitation" : "(Borghouts et al., 2017)", "plainTextFormattedCitation" : "(Borghouts et al., 2017)", "previouslyFormattedCitation" : "(Borghouts et al., 2017)" }, "properties" : {  }, "schema" : "https://github.com/citation-style-language/schema/raw/master/csl-citation.json" }</w:instrText>
      </w:r>
      <w:r w:rsidR="00131C36">
        <w:fldChar w:fldCharType="separate"/>
      </w:r>
      <w:r w:rsidR="00131C36" w:rsidRPr="00131C36">
        <w:rPr>
          <w:noProof/>
        </w:rPr>
        <w:t>(Borghouts et al., 2017)</w:t>
      </w:r>
      <w:r w:rsidR="00131C36">
        <w:fldChar w:fldCharType="end"/>
      </w:r>
      <w:r w:rsidR="00110EB3">
        <w:t xml:space="preserve">. </w:t>
      </w:r>
      <w:r w:rsidR="00D76B63">
        <w:t xml:space="preserve">Participants were </w:t>
      </w:r>
      <w:r w:rsidR="004572F4">
        <w:t>presented with</w:t>
      </w:r>
      <w:r w:rsidR="00D76B63">
        <w:t xml:space="preserve"> </w:t>
      </w:r>
      <w:r w:rsidR="00675F50">
        <w:t>a</w:t>
      </w:r>
      <w:r w:rsidR="004572F4">
        <w:t>n online</w:t>
      </w:r>
      <w:r w:rsidR="00675F50">
        <w:t xml:space="preserve"> </w:t>
      </w:r>
      <w:r w:rsidR="003C01D1">
        <w:t xml:space="preserve">sheet </w:t>
      </w:r>
      <w:r w:rsidR="004572F4">
        <w:t>containing</w:t>
      </w:r>
      <w:r w:rsidR="003C01D1">
        <w:t xml:space="preserve"> a </w:t>
      </w:r>
      <w:r w:rsidR="00D76B63">
        <w:t>set of ten ‘expenses’</w:t>
      </w:r>
      <w:r w:rsidR="00675F50">
        <w:t xml:space="preserve"> </w:t>
      </w:r>
      <w:r w:rsidR="00FA2D65">
        <w:t>(see</w:t>
      </w:r>
      <w:r w:rsidR="006C41C2">
        <w:t xml:space="preserve"> </w:t>
      </w:r>
      <w:r w:rsidR="006C41C2" w:rsidRPr="006C41C2">
        <w:rPr>
          <w:color w:val="4472C4" w:themeColor="accent1"/>
        </w:rPr>
        <w:fldChar w:fldCharType="begin"/>
      </w:r>
      <w:r w:rsidR="006C41C2" w:rsidRPr="006C41C2">
        <w:rPr>
          <w:color w:val="4472C4" w:themeColor="accent1"/>
        </w:rPr>
        <w:instrText xml:space="preserve"> REF _Ref503269927 \h </w:instrText>
      </w:r>
      <w:r w:rsidR="006C41C2" w:rsidRPr="006C41C2">
        <w:rPr>
          <w:color w:val="4472C4" w:themeColor="accent1"/>
        </w:rPr>
      </w:r>
      <w:r w:rsidR="006C41C2" w:rsidRPr="006C41C2">
        <w:rPr>
          <w:color w:val="4472C4" w:themeColor="accent1"/>
        </w:rPr>
        <w:fldChar w:fldCharType="separate"/>
      </w:r>
      <w:r w:rsidR="006C41C2" w:rsidRPr="006C41C2">
        <w:rPr>
          <w:color w:val="4472C4" w:themeColor="accent1"/>
        </w:rPr>
        <w:t xml:space="preserve">Figure </w:t>
      </w:r>
      <w:r w:rsidR="006C41C2" w:rsidRPr="006C41C2">
        <w:rPr>
          <w:noProof/>
          <w:color w:val="4472C4" w:themeColor="accent1"/>
        </w:rPr>
        <w:t>1</w:t>
      </w:r>
      <w:r w:rsidR="006C41C2" w:rsidRPr="006C41C2">
        <w:rPr>
          <w:color w:val="4472C4" w:themeColor="accent1"/>
        </w:rPr>
        <w:fldChar w:fldCharType="end"/>
      </w:r>
      <w:r w:rsidR="00FA2D65">
        <w:t>)</w:t>
      </w:r>
      <w:r w:rsidR="00D76B63">
        <w:t xml:space="preserve">. </w:t>
      </w:r>
      <w:r w:rsidR="00675F50">
        <w:t xml:space="preserve">They had to complete each </w:t>
      </w:r>
      <w:r w:rsidR="00374CD4">
        <w:t>row</w:t>
      </w:r>
      <w:r w:rsidR="00675F50">
        <w:t xml:space="preserve"> by entering</w:t>
      </w:r>
      <w:r w:rsidR="00D76B63">
        <w:t xml:space="preserve"> the correct </w:t>
      </w:r>
      <w:r w:rsidR="00F07767">
        <w:t>expense code</w:t>
      </w:r>
      <w:r w:rsidR="00374CD4">
        <w:t xml:space="preserve"> for the expense</w:t>
      </w:r>
      <w:r w:rsidR="00F07767">
        <w:t xml:space="preserve">. They retrieved this code by looking it up in </w:t>
      </w:r>
      <w:r w:rsidR="00D76B63">
        <w:t xml:space="preserve">a table of 25 expense categories </w:t>
      </w:r>
      <w:r w:rsidR="00FA2D65">
        <w:t xml:space="preserve">which each had a </w:t>
      </w:r>
      <w:r w:rsidR="00D76B63">
        <w:t>cor</w:t>
      </w:r>
      <w:r w:rsidR="00FA2D65">
        <w:t>responding 5-digit expense code</w:t>
      </w:r>
      <w:r w:rsidR="00552DDD">
        <w:t>, shown</w:t>
      </w:r>
      <w:r w:rsidR="00883555">
        <w:t xml:space="preserve"> in</w:t>
      </w:r>
      <w:r w:rsidR="00552DDD">
        <w:t xml:space="preserve"> </w:t>
      </w:r>
      <w:r w:rsidR="00552DDD" w:rsidRPr="00552DDD">
        <w:rPr>
          <w:color w:val="4472C4" w:themeColor="accent1"/>
        </w:rPr>
        <w:fldChar w:fldCharType="begin"/>
      </w:r>
      <w:r w:rsidR="00552DDD" w:rsidRPr="00552DDD">
        <w:rPr>
          <w:color w:val="4472C4" w:themeColor="accent1"/>
        </w:rPr>
        <w:instrText xml:space="preserve"> REF _Ref503270017 \h </w:instrText>
      </w:r>
      <w:r w:rsidR="00552DDD" w:rsidRPr="00552DDD">
        <w:rPr>
          <w:color w:val="4472C4" w:themeColor="accent1"/>
        </w:rPr>
      </w:r>
      <w:r w:rsidR="00552DDD" w:rsidRPr="00552DDD">
        <w:rPr>
          <w:color w:val="4472C4" w:themeColor="accent1"/>
        </w:rPr>
        <w:fldChar w:fldCharType="separate"/>
      </w:r>
      <w:r w:rsidR="00552DDD" w:rsidRPr="00552DDD">
        <w:rPr>
          <w:color w:val="4472C4" w:themeColor="accent1"/>
        </w:rPr>
        <w:t xml:space="preserve">Figure </w:t>
      </w:r>
      <w:r w:rsidR="00552DDD" w:rsidRPr="00552DDD">
        <w:rPr>
          <w:noProof/>
          <w:color w:val="4472C4" w:themeColor="accent1"/>
        </w:rPr>
        <w:t>2</w:t>
      </w:r>
      <w:r w:rsidR="00552DDD" w:rsidRPr="00552DDD">
        <w:rPr>
          <w:color w:val="4472C4" w:themeColor="accent1"/>
        </w:rPr>
        <w:fldChar w:fldCharType="end"/>
      </w:r>
      <w:r w:rsidR="00FA2D65">
        <w:t xml:space="preserve">. </w:t>
      </w:r>
      <w:r w:rsidR="009B37FC">
        <w:t xml:space="preserve">Participants had to determine which category </w:t>
      </w:r>
      <w:r w:rsidR="00FA2D65">
        <w:t>an</w:t>
      </w:r>
      <w:r w:rsidR="009B37FC">
        <w:t xml:space="preserve"> expense belonged to, </w:t>
      </w:r>
      <w:r w:rsidR="00FA2D65">
        <w:t xml:space="preserve">look up the code of this category and enter it in the row of the expense. </w:t>
      </w:r>
      <w:r w:rsidR="005F1971">
        <w:t xml:space="preserve">We used expense categories and codes </w:t>
      </w:r>
      <w:r w:rsidR="00D06CE1">
        <w:t xml:space="preserve">that are currently used </w:t>
      </w:r>
      <w:r w:rsidR="003E1874">
        <w:t>by a public university</w:t>
      </w:r>
      <w:r w:rsidR="00676CFA">
        <w:t xml:space="preserve"> to process expenses.</w:t>
      </w:r>
    </w:p>
    <w:p w14:paraId="23345420" w14:textId="1C2DDE60" w:rsidR="00843356" w:rsidRDefault="00843356" w:rsidP="00497E07">
      <w:pPr>
        <w:pStyle w:val="Paragraph"/>
      </w:pPr>
      <w:r>
        <w:t xml:space="preserve">In the example of </w:t>
      </w:r>
      <w:r w:rsidR="006C41C2" w:rsidRPr="006C41C2">
        <w:rPr>
          <w:color w:val="4472C4" w:themeColor="accent1"/>
        </w:rPr>
        <w:fldChar w:fldCharType="begin"/>
      </w:r>
      <w:r w:rsidR="006C41C2" w:rsidRPr="006C41C2">
        <w:rPr>
          <w:color w:val="4472C4" w:themeColor="accent1"/>
        </w:rPr>
        <w:instrText xml:space="preserve"> REF _Ref503269927 \h </w:instrText>
      </w:r>
      <w:r w:rsidR="006C41C2" w:rsidRPr="006C41C2">
        <w:rPr>
          <w:color w:val="4472C4" w:themeColor="accent1"/>
        </w:rPr>
      </w:r>
      <w:r w:rsidR="006C41C2" w:rsidRPr="006C41C2">
        <w:rPr>
          <w:color w:val="4472C4" w:themeColor="accent1"/>
        </w:rPr>
        <w:fldChar w:fldCharType="separate"/>
      </w:r>
      <w:r w:rsidR="006C41C2" w:rsidRPr="006C41C2">
        <w:rPr>
          <w:color w:val="4472C4" w:themeColor="accent1"/>
        </w:rPr>
        <w:t xml:space="preserve">Figure </w:t>
      </w:r>
      <w:r w:rsidR="006C41C2" w:rsidRPr="006C41C2">
        <w:rPr>
          <w:noProof/>
          <w:color w:val="4472C4" w:themeColor="accent1"/>
        </w:rPr>
        <w:t>1</w:t>
      </w:r>
      <w:r w:rsidR="006C41C2" w:rsidRPr="006C41C2">
        <w:rPr>
          <w:color w:val="4472C4" w:themeColor="accent1"/>
        </w:rPr>
        <w:fldChar w:fldCharType="end"/>
      </w:r>
      <w:r w:rsidR="006C41C2">
        <w:rPr>
          <w:color w:val="4472C4" w:themeColor="accent1"/>
        </w:rPr>
        <w:t xml:space="preserve">, </w:t>
      </w:r>
      <w:r>
        <w:t xml:space="preserve">the expense in the top row belongs to the category ‘Postage’ and the participant would have to copy the code 22104 from the expense table into the empty cell of the top row. A code did not occur more than once in a trial. The codes within a trial could be entered in any order. </w:t>
      </w:r>
    </w:p>
    <w:p w14:paraId="5DAE2687" w14:textId="5EDF58B2" w:rsidR="00AB5EE9" w:rsidRDefault="00FA2D65" w:rsidP="00497E07">
      <w:pPr>
        <w:pStyle w:val="Paragraph"/>
      </w:pPr>
      <w:r>
        <w:t>Once the codes of the ten expenses had been entered, participants clicked the Next button</w:t>
      </w:r>
      <w:r w:rsidR="003C01D1">
        <w:t xml:space="preserve"> to go to the next trial and the sheet was filled with ten new expenses. Participants were not alerted to any mistakes and once they had pressed ‘Next’, they could not return to the previous trial to correct any errors. </w:t>
      </w:r>
      <w:r w:rsidR="00374CD4">
        <w:t xml:space="preserve">Participants had to complete one practice trial, and five experimental trials. </w:t>
      </w:r>
      <w:r w:rsidR="00223E47">
        <w:t>The purpose of the</w:t>
      </w:r>
      <w:r w:rsidR="00374CD4">
        <w:t xml:space="preserve"> practice trial was for the </w:t>
      </w:r>
      <w:r w:rsidR="00223E47">
        <w:t>participant</w:t>
      </w:r>
      <w:r w:rsidR="00374CD4">
        <w:t xml:space="preserve"> to get familiar with the task</w:t>
      </w:r>
      <w:r w:rsidR="00223E47">
        <w:t>,</w:t>
      </w:r>
      <w:r w:rsidR="00374CD4">
        <w:t xml:space="preserve"> and the recorded data </w:t>
      </w:r>
      <w:r w:rsidR="004D6CC9">
        <w:t>from</w:t>
      </w:r>
      <w:r w:rsidR="00374CD4">
        <w:t xml:space="preserve"> this trial was excluded </w:t>
      </w:r>
      <w:r w:rsidR="00947F59">
        <w:t>from the analysis.</w:t>
      </w:r>
    </w:p>
    <w:p w14:paraId="449D47F9" w14:textId="44F38A6A" w:rsidR="00907F44" w:rsidRPr="00497E07" w:rsidRDefault="00907F44" w:rsidP="00497E07">
      <w:pPr>
        <w:pStyle w:val="Paragraph"/>
      </w:pPr>
      <w:r>
        <w:t xml:space="preserve">The experiment was conducted in a web browser. In addition to the main task, we implemented a browser notification that appeared when participants in the </w:t>
      </w:r>
      <w:r w:rsidRPr="00907F44">
        <w:rPr>
          <w:i/>
        </w:rPr>
        <w:t>notification</w:t>
      </w:r>
      <w:r>
        <w:t xml:space="preserve"> condition switched away from the data entry window</w:t>
      </w:r>
      <w:r w:rsidR="006E0A9F">
        <w:t xml:space="preserve"> (see</w:t>
      </w:r>
      <w:r w:rsidR="00552DDD">
        <w:rPr>
          <w:color w:val="4472C4" w:themeColor="accent1"/>
        </w:rPr>
        <w:t xml:space="preserve"> </w:t>
      </w:r>
      <w:r w:rsidR="00552DDD" w:rsidRPr="00552DDD">
        <w:rPr>
          <w:color w:val="4472C4" w:themeColor="accent1"/>
        </w:rPr>
        <w:fldChar w:fldCharType="begin"/>
      </w:r>
      <w:r w:rsidR="00552DDD" w:rsidRPr="00552DDD">
        <w:rPr>
          <w:color w:val="4472C4" w:themeColor="accent1"/>
        </w:rPr>
        <w:instrText xml:space="preserve"> REF _Ref503275425 \h </w:instrText>
      </w:r>
      <w:r w:rsidR="00552DDD" w:rsidRPr="00552DDD">
        <w:rPr>
          <w:color w:val="4472C4" w:themeColor="accent1"/>
        </w:rPr>
      </w:r>
      <w:r w:rsidR="00552DDD" w:rsidRPr="00552DDD">
        <w:rPr>
          <w:color w:val="4472C4" w:themeColor="accent1"/>
        </w:rPr>
        <w:fldChar w:fldCharType="separate"/>
      </w:r>
      <w:r w:rsidR="00552DDD" w:rsidRPr="00552DDD">
        <w:rPr>
          <w:color w:val="4472C4" w:themeColor="accent1"/>
        </w:rPr>
        <w:t xml:space="preserve">Figure </w:t>
      </w:r>
      <w:r w:rsidR="00552DDD" w:rsidRPr="00552DDD">
        <w:rPr>
          <w:noProof/>
          <w:color w:val="4472C4" w:themeColor="accent1"/>
        </w:rPr>
        <w:t>3</w:t>
      </w:r>
      <w:r w:rsidR="00552DDD" w:rsidRPr="00552DDD">
        <w:rPr>
          <w:color w:val="4472C4" w:themeColor="accent1"/>
        </w:rPr>
        <w:fldChar w:fldCharType="end"/>
      </w:r>
      <w:r w:rsidR="006E0A9F">
        <w:t>)</w:t>
      </w:r>
      <w:r>
        <w:t>.</w:t>
      </w:r>
      <w:r w:rsidR="00941A0A">
        <w:t xml:space="preserve"> Every time participants switched, a notification appeared at the right-hand corner of their screen that told participants how long on average they go away for when they switch. The notification stayed visible </w:t>
      </w:r>
      <w:r w:rsidR="00C2569A">
        <w:t>for several seconds</w:t>
      </w:r>
      <w:r w:rsidR="008F0DC1">
        <w:t xml:space="preserve"> as set by default by the browser</w:t>
      </w:r>
      <w:r w:rsidR="00941A0A">
        <w:t>, or participants could dismiss the notification themselves</w:t>
      </w:r>
      <w:r w:rsidR="00883555">
        <w:t xml:space="preserve"> by clicking on it</w:t>
      </w:r>
      <w:r w:rsidR="00941A0A">
        <w:t>.</w:t>
      </w:r>
    </w:p>
    <w:p w14:paraId="7D090220" w14:textId="62A006CC" w:rsidR="00AB5EE9" w:rsidRPr="00FF3A76" w:rsidRDefault="00AB5EE9" w:rsidP="00497E07">
      <w:pPr>
        <w:pStyle w:val="Heading2"/>
      </w:pPr>
      <w:r w:rsidRPr="00FF3A76">
        <w:t>Procedure</w:t>
      </w:r>
    </w:p>
    <w:p w14:paraId="7C8756EA" w14:textId="4E11D5E1" w:rsidR="00BC4999" w:rsidRDefault="00240317" w:rsidP="00497E07">
      <w:pPr>
        <w:pStyle w:val="Paragraph"/>
        <w:ind w:firstLine="0"/>
      </w:pPr>
      <w:r>
        <w:t xml:space="preserve">The study was advertised online with a brief description </w:t>
      </w:r>
      <w:r w:rsidR="00FC78A0">
        <w:t xml:space="preserve">and a </w:t>
      </w:r>
      <w:r w:rsidR="008F0DC1">
        <w:t xml:space="preserve">website </w:t>
      </w:r>
      <w:r w:rsidR="00FC78A0">
        <w:t>link to sign up.</w:t>
      </w:r>
      <w:r>
        <w:t xml:space="preserve"> </w:t>
      </w:r>
      <w:r w:rsidR="00DA39B9">
        <w:t>Participants signed up for the experiment by entering their email address</w:t>
      </w:r>
      <w:r w:rsidR="00A93C03">
        <w:t>, and</w:t>
      </w:r>
      <w:r w:rsidR="00DA39B9">
        <w:t xml:space="preserve"> were sent an email with</w:t>
      </w:r>
      <w:r w:rsidR="00246CD8">
        <w:t xml:space="preserve"> </w:t>
      </w:r>
      <w:r w:rsidR="00EB158C">
        <w:t xml:space="preserve">the </w:t>
      </w:r>
      <w:r w:rsidR="00DA39B9">
        <w:t>table of expense</w:t>
      </w:r>
      <w:r w:rsidR="00AA41A6">
        <w:t xml:space="preserve"> categories and expense codes. </w:t>
      </w:r>
      <w:r w:rsidR="00BD0DC5">
        <w:t xml:space="preserve">The </w:t>
      </w:r>
      <w:r w:rsidR="000B2D01">
        <w:t xml:space="preserve">email also included </w:t>
      </w:r>
      <w:r w:rsidR="00BD0DC5">
        <w:t xml:space="preserve">instructions </w:t>
      </w:r>
      <w:r w:rsidR="000B2D01">
        <w:t xml:space="preserve">with </w:t>
      </w:r>
      <w:r w:rsidR="00BD0DC5">
        <w:t xml:space="preserve">a </w:t>
      </w:r>
      <w:r w:rsidR="00FB426E">
        <w:t>new link</w:t>
      </w:r>
      <w:r w:rsidR="00BD0DC5">
        <w:t xml:space="preserve"> where the study was available.</w:t>
      </w:r>
      <w:r w:rsidR="007F078E" w:rsidRPr="007F078E">
        <w:t xml:space="preserve"> </w:t>
      </w:r>
      <w:r w:rsidR="00FB426E">
        <w:t>Participants</w:t>
      </w:r>
      <w:r w:rsidR="00FB426E" w:rsidRPr="00F93E37">
        <w:t xml:space="preserve"> were asked to complete the task o</w:t>
      </w:r>
      <w:r w:rsidR="00FB426E">
        <w:t xml:space="preserve">n a desktop or laptop computer and open the experiment in Google Chrome, Firefox or Safari. </w:t>
      </w:r>
      <w:r w:rsidR="008C4ED7">
        <w:t xml:space="preserve">Participants were </w:t>
      </w:r>
      <w:r w:rsidR="00F96661">
        <w:t>not informed</w:t>
      </w:r>
      <w:r w:rsidR="008C4ED7">
        <w:t xml:space="preserve"> beforehand which cond</w:t>
      </w:r>
      <w:r w:rsidR="00F55BD2">
        <w:t>ition they had been allocated to</w:t>
      </w:r>
      <w:r w:rsidR="002B365E">
        <w:t xml:space="preserve">, and were told the purpose of the study was to </w:t>
      </w:r>
      <w:r w:rsidR="00881E78">
        <w:t>understand</w:t>
      </w:r>
      <w:r w:rsidR="002B365E">
        <w:t xml:space="preserve"> how people perform data entry tasks</w:t>
      </w:r>
      <w:r w:rsidR="008C4ED7">
        <w:t xml:space="preserve">. Participants in the </w:t>
      </w:r>
      <w:r w:rsidR="008C4ED7" w:rsidRPr="00E335D4">
        <w:rPr>
          <w:i/>
        </w:rPr>
        <w:t>notification</w:t>
      </w:r>
      <w:r w:rsidR="008C4ED7">
        <w:t xml:space="preserve"> condition </w:t>
      </w:r>
      <w:r w:rsidR="001B43C4">
        <w:t xml:space="preserve">were </w:t>
      </w:r>
      <w:r w:rsidR="003511F5">
        <w:t>informed</w:t>
      </w:r>
      <w:r w:rsidR="008C4ED7">
        <w:t xml:space="preserve"> that they would </w:t>
      </w:r>
      <w:r w:rsidR="00DC5472">
        <w:t xml:space="preserve">receive </w:t>
      </w:r>
      <w:r w:rsidR="008C4ED7">
        <w:t>notification</w:t>
      </w:r>
      <w:r w:rsidR="00DC5472">
        <w:t>s</w:t>
      </w:r>
      <w:r w:rsidR="008C4ED7">
        <w:t xml:space="preserve"> during the experiment</w:t>
      </w:r>
      <w:r w:rsidR="00BC22D1">
        <w:t xml:space="preserve">. </w:t>
      </w:r>
    </w:p>
    <w:p w14:paraId="1BD5FA31" w14:textId="5E06FDFE" w:rsidR="00A07ED0" w:rsidRDefault="00BC4999" w:rsidP="00E77000">
      <w:pPr>
        <w:pStyle w:val="Paragraph"/>
      </w:pPr>
      <w:r>
        <w:t xml:space="preserve">Participants </w:t>
      </w:r>
      <w:r w:rsidR="002F4A67">
        <w:t xml:space="preserve">first read </w:t>
      </w:r>
      <w:r w:rsidR="00BD0DC5">
        <w:t>an onli</w:t>
      </w:r>
      <w:r w:rsidR="00B06386">
        <w:t>ne consent form</w:t>
      </w:r>
      <w:r w:rsidR="000B2D01">
        <w:t xml:space="preserve"> on the website</w:t>
      </w:r>
      <w:r w:rsidR="00B06386">
        <w:t xml:space="preserve">, and </w:t>
      </w:r>
      <w:r w:rsidR="00AA41A6">
        <w:t>were not ab</w:t>
      </w:r>
      <w:r w:rsidR="0032649E">
        <w:t>le</w:t>
      </w:r>
      <w:r w:rsidR="00AA41A6">
        <w:t xml:space="preserve"> to continue to the experiment until they had </w:t>
      </w:r>
      <w:r w:rsidR="00E77000">
        <w:t>agreed</w:t>
      </w:r>
      <w:r w:rsidR="00AA41A6">
        <w:t xml:space="preserve"> </w:t>
      </w:r>
      <w:r w:rsidR="00E77000">
        <w:t xml:space="preserve">to </w:t>
      </w:r>
      <w:r w:rsidR="00AA41A6">
        <w:t xml:space="preserve">the consent form. </w:t>
      </w:r>
      <w:r w:rsidR="00B06386">
        <w:t>Parti</w:t>
      </w:r>
      <w:r w:rsidR="00641F3F">
        <w:t xml:space="preserve">cipants in the </w:t>
      </w:r>
      <w:r w:rsidR="00641F3F" w:rsidRPr="00AA41A6">
        <w:rPr>
          <w:i/>
        </w:rPr>
        <w:t>notification</w:t>
      </w:r>
      <w:r w:rsidR="00641F3F">
        <w:t xml:space="preserve"> cond</w:t>
      </w:r>
      <w:r w:rsidR="00B06386">
        <w:t xml:space="preserve">ition </w:t>
      </w:r>
      <w:r w:rsidR="0078412B">
        <w:t>received a</w:t>
      </w:r>
      <w:r w:rsidR="003713A3">
        <w:t>n additional</w:t>
      </w:r>
      <w:r w:rsidR="0078412B">
        <w:t xml:space="preserve"> dialog box </w:t>
      </w:r>
      <w:r w:rsidR="00B06386">
        <w:t>to enable notifications in their browser</w:t>
      </w:r>
      <w:r w:rsidR="0078412B">
        <w:t xml:space="preserve">, and had to click </w:t>
      </w:r>
      <w:r w:rsidR="00D347B3">
        <w:t>‘</w:t>
      </w:r>
      <w:r w:rsidR="0078412B">
        <w:t>OK</w:t>
      </w:r>
      <w:r w:rsidR="00D347B3">
        <w:t>’</w:t>
      </w:r>
      <w:r w:rsidR="0078412B">
        <w:t xml:space="preserve"> to continue. </w:t>
      </w:r>
      <w:r w:rsidR="00A07ED0">
        <w:t xml:space="preserve">Participants were instructed to have both their email and </w:t>
      </w:r>
      <w:r w:rsidR="00B519BB">
        <w:t>data entry</w:t>
      </w:r>
      <w:r w:rsidR="00A07ED0">
        <w:t xml:space="preserve"> window open on the same device, and to keep both windows maximised at all time, to ensure they had to switch back and forth between the two windows. Participants who made no recorded switches </w:t>
      </w:r>
      <w:r w:rsidR="00C02FAD">
        <w:t>would be</w:t>
      </w:r>
      <w:r w:rsidR="00A07ED0">
        <w:t xml:space="preserve"> excluded from the dataset. </w:t>
      </w:r>
    </w:p>
    <w:p w14:paraId="4307935C" w14:textId="5FF8E96E" w:rsidR="0093228A" w:rsidRPr="00497E07" w:rsidRDefault="00A95256" w:rsidP="00497E07">
      <w:pPr>
        <w:pStyle w:val="Paragraph"/>
      </w:pPr>
      <w:r>
        <w:t xml:space="preserve">After completing all experimental trials, participants were shown a page of debriefing information, explaining the purpose of the study. </w:t>
      </w:r>
      <w:r w:rsidR="003911D2">
        <w:t>An</w:t>
      </w:r>
      <w:r w:rsidR="00C44442" w:rsidRPr="00C44442">
        <w:t xml:space="preserve"> email address</w:t>
      </w:r>
      <w:r w:rsidR="003911D2">
        <w:t xml:space="preserve"> was included</w:t>
      </w:r>
      <w:r w:rsidR="00C44442" w:rsidRPr="00C44442">
        <w:t xml:space="preserve"> </w:t>
      </w:r>
      <w:r w:rsidR="003911D2">
        <w:t>as a point of</w:t>
      </w:r>
      <w:r w:rsidR="00C44442" w:rsidRPr="00C44442">
        <w:t xml:space="preserve"> </w:t>
      </w:r>
      <w:r w:rsidR="00C44442">
        <w:t xml:space="preserve">contact if </w:t>
      </w:r>
      <w:r w:rsidR="003911D2">
        <w:t>participants</w:t>
      </w:r>
      <w:r w:rsidR="00C44442">
        <w:t xml:space="preserve"> had any further questions.</w:t>
      </w:r>
      <w:r w:rsidR="008C4ED7">
        <w:t xml:space="preserve"> </w:t>
      </w:r>
      <w:r w:rsidR="00FC53CE">
        <w:t>Participants</w:t>
      </w:r>
      <w:r w:rsidR="00243E2C">
        <w:t xml:space="preserve"> took </w:t>
      </w:r>
      <w:r w:rsidR="00FC53CE">
        <w:t xml:space="preserve">between 10 </w:t>
      </w:r>
      <w:r w:rsidR="00647ABE">
        <w:t>and 20</w:t>
      </w:r>
      <w:r w:rsidR="00C345B3">
        <w:t xml:space="preserve"> </w:t>
      </w:r>
      <w:r w:rsidR="00FC53CE">
        <w:t xml:space="preserve">minutes to complete the </w:t>
      </w:r>
      <w:r w:rsidR="00EC6A7A">
        <w:t>experiment</w:t>
      </w:r>
      <w:r w:rsidR="00FC53CE">
        <w:t>.</w:t>
      </w:r>
    </w:p>
    <w:p w14:paraId="14AD0E3C" w14:textId="1DD5FEB0" w:rsidR="0093228A" w:rsidRPr="0007712B" w:rsidRDefault="0093228A" w:rsidP="00497E07">
      <w:pPr>
        <w:pStyle w:val="Heading1"/>
      </w:pPr>
      <w:r w:rsidRPr="0007712B">
        <w:t>Results</w:t>
      </w:r>
    </w:p>
    <w:p w14:paraId="652CF682" w14:textId="60A5AEA9" w:rsidR="002B579D" w:rsidRDefault="001045F1" w:rsidP="001045F1">
      <w:pPr>
        <w:pStyle w:val="Paragraph"/>
        <w:ind w:firstLine="0"/>
      </w:pPr>
      <w:r w:rsidRPr="001045F1">
        <w:rPr>
          <w:color w:val="4472C4" w:themeColor="accent1"/>
        </w:rPr>
        <w:fldChar w:fldCharType="begin"/>
      </w:r>
      <w:r w:rsidRPr="001045F1">
        <w:rPr>
          <w:color w:val="4472C4" w:themeColor="accent1"/>
        </w:rPr>
        <w:instrText xml:space="preserve"> REF _Ref503272422 \h </w:instrText>
      </w:r>
      <w:r w:rsidRPr="001045F1">
        <w:rPr>
          <w:color w:val="4472C4" w:themeColor="accent1"/>
        </w:rPr>
      </w:r>
      <w:r w:rsidRPr="001045F1">
        <w:rPr>
          <w:color w:val="4472C4" w:themeColor="accent1"/>
        </w:rPr>
        <w:fldChar w:fldCharType="separate"/>
      </w:r>
      <w:r w:rsidRPr="001045F1">
        <w:rPr>
          <w:color w:val="4472C4" w:themeColor="accent1"/>
        </w:rPr>
        <w:t xml:space="preserve">Table </w:t>
      </w:r>
      <w:r w:rsidRPr="001045F1">
        <w:rPr>
          <w:noProof/>
          <w:color w:val="4472C4" w:themeColor="accent1"/>
        </w:rPr>
        <w:t>1</w:t>
      </w:r>
      <w:r w:rsidRPr="001045F1">
        <w:rPr>
          <w:color w:val="4472C4" w:themeColor="accent1"/>
        </w:rPr>
        <w:fldChar w:fldCharType="end"/>
      </w:r>
      <w:r w:rsidRPr="001045F1">
        <w:rPr>
          <w:color w:val="4472C4" w:themeColor="accent1"/>
        </w:rPr>
        <w:t xml:space="preserve"> </w:t>
      </w:r>
      <w:r>
        <w:t xml:space="preserve">summarises the results of </w:t>
      </w:r>
      <w:r>
        <w:t>the</w:t>
      </w:r>
      <w:r>
        <w:t xml:space="preserve"> conditions in terms </w:t>
      </w:r>
      <w:r w:rsidR="001A7EDB">
        <w:t>of the</w:t>
      </w:r>
      <w:r>
        <w:t xml:space="preserve"> </w:t>
      </w:r>
      <w:r>
        <w:t xml:space="preserve">four dependent </w:t>
      </w:r>
      <w:r>
        <w:t xml:space="preserve">variables. </w:t>
      </w:r>
      <w:r w:rsidR="006D39A4">
        <w:t xml:space="preserve">The </w:t>
      </w:r>
      <w:r w:rsidR="00113E39">
        <w:t>number</w:t>
      </w:r>
      <w:r w:rsidR="006D39A4">
        <w:t xml:space="preserve"> of switches</w:t>
      </w:r>
      <w:r w:rsidR="00D4088C">
        <w:t xml:space="preserve">, </w:t>
      </w:r>
      <w:r w:rsidR="00113E39">
        <w:t>length</w:t>
      </w:r>
      <w:r w:rsidR="00D4088C">
        <w:t xml:space="preserve"> of switches</w:t>
      </w:r>
      <w:r w:rsidR="006D39A4">
        <w:t xml:space="preserve"> and </w:t>
      </w:r>
      <w:r w:rsidR="00113E39">
        <w:t>the error rate</w:t>
      </w:r>
      <w:r w:rsidR="006D39A4">
        <w:t xml:space="preserve"> were not normally distributed, so </w:t>
      </w:r>
      <w:r w:rsidR="003A1E5C">
        <w:t xml:space="preserve">non-parametric Mann-Whitney tests </w:t>
      </w:r>
      <w:r w:rsidR="00F31698">
        <w:t xml:space="preserve">were used </w:t>
      </w:r>
      <w:r w:rsidR="0053441E">
        <w:t xml:space="preserve">to analyse </w:t>
      </w:r>
      <w:r w:rsidR="00F31698">
        <w:t>effects of a notification on these dependent variables</w:t>
      </w:r>
      <w:r w:rsidR="0053441E">
        <w:t xml:space="preserve">. </w:t>
      </w:r>
      <w:r w:rsidR="006D39A4" w:rsidRPr="006D39A4">
        <w:t xml:space="preserve">A Shapiro–Wilk test suggested that the </w:t>
      </w:r>
      <w:r w:rsidR="006D39A4">
        <w:t xml:space="preserve">trial </w:t>
      </w:r>
      <w:r w:rsidR="00E0394F">
        <w:t xml:space="preserve">completion </w:t>
      </w:r>
      <w:r w:rsidR="006D39A4">
        <w:t>times</w:t>
      </w:r>
      <w:r w:rsidR="006D39A4" w:rsidRPr="006D39A4">
        <w:t xml:space="preserve"> were normally</w:t>
      </w:r>
      <w:r w:rsidR="006D39A4">
        <w:t xml:space="preserve"> distributed, W = 0.94</w:t>
      </w:r>
      <w:r w:rsidR="006D39A4" w:rsidRPr="006D39A4">
        <w:t xml:space="preserve">, p </w:t>
      </w:r>
      <w:r w:rsidR="006D39A4">
        <w:t>= 0.05, so</w:t>
      </w:r>
      <w:r w:rsidR="00FC5151">
        <w:t xml:space="preserve"> a</w:t>
      </w:r>
      <w:r w:rsidR="000F7410">
        <w:t xml:space="preserve">n independent t-test was used to analyse </w:t>
      </w:r>
      <w:r w:rsidR="005A071D">
        <w:t>the effect on trial times</w:t>
      </w:r>
      <w:r w:rsidR="000F7410">
        <w:t xml:space="preserve">. </w:t>
      </w:r>
    </w:p>
    <w:p w14:paraId="62034BF8" w14:textId="032EEFAD" w:rsidR="00D05CB0" w:rsidRDefault="00897B40" w:rsidP="00497E07">
      <w:pPr>
        <w:pStyle w:val="Paragraph"/>
      </w:pPr>
      <w:r w:rsidRPr="00CD27D5">
        <w:rPr>
          <w:color w:val="4472C4" w:themeColor="accent1"/>
        </w:rPr>
        <w:fldChar w:fldCharType="begin"/>
      </w:r>
      <w:r w:rsidRPr="00CD27D5">
        <w:rPr>
          <w:color w:val="4472C4" w:themeColor="accent1"/>
        </w:rPr>
        <w:instrText xml:space="preserve"> REF _Ref503272305 \h </w:instrText>
      </w:r>
      <w:r w:rsidRPr="00CD27D5">
        <w:rPr>
          <w:color w:val="4472C4" w:themeColor="accent1"/>
        </w:rPr>
      </w:r>
      <w:r w:rsidRPr="00CD27D5">
        <w:rPr>
          <w:color w:val="4472C4" w:themeColor="accent1"/>
        </w:rPr>
        <w:fldChar w:fldCharType="separate"/>
      </w:r>
      <w:r w:rsidR="00CD27D5" w:rsidRPr="00CD27D5">
        <w:rPr>
          <w:color w:val="4472C4" w:themeColor="accent1"/>
        </w:rPr>
        <w:t xml:space="preserve">Figure </w:t>
      </w:r>
      <w:r w:rsidR="00CD27D5" w:rsidRPr="00CD27D5">
        <w:rPr>
          <w:noProof/>
          <w:color w:val="4472C4" w:themeColor="accent1"/>
        </w:rPr>
        <w:t>4</w:t>
      </w:r>
      <w:r w:rsidRPr="00CD27D5">
        <w:rPr>
          <w:color w:val="4472C4" w:themeColor="accent1"/>
        </w:rPr>
        <w:fldChar w:fldCharType="end"/>
      </w:r>
      <w:r w:rsidRPr="00897B40">
        <w:rPr>
          <w:color w:val="4472C4" w:themeColor="accent1"/>
        </w:rPr>
        <w:t xml:space="preserve"> </w:t>
      </w:r>
      <w:r>
        <w:t xml:space="preserve">shows the variability of duration of switches for the two conditions. </w:t>
      </w:r>
      <w:r w:rsidR="002B579D" w:rsidRPr="002B579D">
        <w:t xml:space="preserve">Results show that </w:t>
      </w:r>
      <w:r w:rsidR="00D05CB0">
        <w:t xml:space="preserve">switches were significantly </w:t>
      </w:r>
      <w:r w:rsidR="00A870BC">
        <w:t>shorter</w:t>
      </w:r>
      <w:r w:rsidR="00D05CB0">
        <w:t xml:space="preserve"> among participants</w:t>
      </w:r>
      <w:r w:rsidR="002B579D" w:rsidRPr="002B579D">
        <w:t xml:space="preserve"> </w:t>
      </w:r>
      <w:r w:rsidR="00D05CB0">
        <w:t>who</w:t>
      </w:r>
      <w:r w:rsidR="00B402E9">
        <w:t xml:space="preserve"> had </w:t>
      </w:r>
      <w:r w:rsidR="00A870BC">
        <w:t>a</w:t>
      </w:r>
      <w:r w:rsidR="00B402E9">
        <w:t xml:space="preserve"> notification</w:t>
      </w:r>
      <w:r w:rsidR="002B579D" w:rsidRPr="002B579D">
        <w:t xml:space="preserve"> </w:t>
      </w:r>
      <w:r w:rsidR="00A870BC">
        <w:t>(M=4.51s, SD=1</w:t>
      </w:r>
      <w:r w:rsidR="00A870BC" w:rsidRPr="002B579D">
        <w:t>.</w:t>
      </w:r>
      <w:r w:rsidR="00A870BC">
        <w:t>80s)</w:t>
      </w:r>
      <w:r w:rsidR="0018118A">
        <w:t xml:space="preserve"> </w:t>
      </w:r>
      <w:r w:rsidR="00D05CB0">
        <w:t>than among those</w:t>
      </w:r>
      <w:r w:rsidR="00B402E9">
        <w:t xml:space="preserve"> </w:t>
      </w:r>
      <w:r w:rsidR="008B682B">
        <w:t>without a</w:t>
      </w:r>
      <w:r w:rsidR="00B402E9">
        <w:t xml:space="preserve"> notification</w:t>
      </w:r>
      <w:r w:rsidR="00A870BC">
        <w:t xml:space="preserve"> (M=7.11s, SD=3.14</w:t>
      </w:r>
      <w:r w:rsidR="00A870BC" w:rsidRPr="002B579D">
        <w:t>s</w:t>
      </w:r>
      <w:r w:rsidR="00A870BC">
        <w:t>)</w:t>
      </w:r>
      <w:r w:rsidR="00B402E9">
        <w:t xml:space="preserve">, </w:t>
      </w:r>
      <w:proofErr w:type="gramStart"/>
      <w:r w:rsidR="00B402E9">
        <w:t>U(</w:t>
      </w:r>
      <w:proofErr w:type="gramEnd"/>
      <w:r w:rsidR="00B402E9">
        <w:t xml:space="preserve">17, 15) = </w:t>
      </w:r>
      <w:r w:rsidR="00B402E9" w:rsidRPr="004216F1">
        <w:t>186</w:t>
      </w:r>
      <w:r w:rsidR="00B402E9">
        <w:t>, p = 0.01.</w:t>
      </w:r>
      <w:r w:rsidR="00A44F3D">
        <w:t xml:space="preserve"> </w:t>
      </w:r>
      <w:r w:rsidR="00D125AE">
        <w:t xml:space="preserve">There was no significant difference in number of switches, </w:t>
      </w:r>
      <w:proofErr w:type="gramStart"/>
      <w:r w:rsidR="00A44F3D">
        <w:t>U(</w:t>
      </w:r>
      <w:proofErr w:type="gramEnd"/>
      <w:r w:rsidR="00A44F3D">
        <w:t>17, 15) =</w:t>
      </w:r>
      <w:r w:rsidR="00A44F3D" w:rsidRPr="008051DC">
        <w:t xml:space="preserve"> </w:t>
      </w:r>
      <w:r w:rsidR="000D0F31">
        <w:t>80</w:t>
      </w:r>
      <w:r w:rsidR="00D125AE">
        <w:t>, p = 0.1</w:t>
      </w:r>
      <w:r w:rsidR="00A44F3D">
        <w:t>.</w:t>
      </w:r>
    </w:p>
    <w:p w14:paraId="42EE25DB" w14:textId="6456DB0F" w:rsidR="00AC7B87" w:rsidRDefault="005B681D" w:rsidP="00497E07">
      <w:pPr>
        <w:pStyle w:val="Paragraph"/>
      </w:pPr>
      <w:r>
        <w:t xml:space="preserve">Error rates were calculated by </w:t>
      </w:r>
      <w:r w:rsidR="00A870BC">
        <w:t>dividing the number of data entry errors divided by error opportunities.</w:t>
      </w:r>
      <w:r w:rsidR="00E84CE6">
        <w:t xml:space="preserve"> </w:t>
      </w:r>
      <w:r w:rsidR="00645260">
        <w:t>The error rates were</w:t>
      </w:r>
      <w:r w:rsidR="00A870BC">
        <w:t xml:space="preserve"> significantly lower</w:t>
      </w:r>
      <w:r w:rsidR="00645260">
        <w:t xml:space="preserve"> for participants </w:t>
      </w:r>
      <w:r w:rsidR="00A870BC">
        <w:t>with</w:t>
      </w:r>
      <w:r w:rsidR="00645260">
        <w:t xml:space="preserve"> a notification (</w:t>
      </w:r>
      <w:r w:rsidR="007B05C6">
        <w:t>M=</w:t>
      </w:r>
      <w:r w:rsidR="00A870BC">
        <w:t>2</w:t>
      </w:r>
      <w:r w:rsidR="007B05C6">
        <w:t>%, SD=</w:t>
      </w:r>
      <w:r w:rsidR="00A870BC">
        <w:t>2</w:t>
      </w:r>
      <w:r w:rsidR="007B05C6">
        <w:t>%</w:t>
      </w:r>
      <w:r w:rsidR="00645260">
        <w:t xml:space="preserve">) compared to participants </w:t>
      </w:r>
      <w:r w:rsidR="00A870BC">
        <w:t>who had no</w:t>
      </w:r>
      <w:r w:rsidR="00645260">
        <w:t xml:space="preserve"> notification (</w:t>
      </w:r>
      <w:r w:rsidR="007B05C6">
        <w:t>M=</w:t>
      </w:r>
      <w:r w:rsidR="00A870BC">
        <w:t>6</w:t>
      </w:r>
      <w:r w:rsidR="007B05C6">
        <w:t>%,</w:t>
      </w:r>
      <w:r w:rsidR="00EE63A9">
        <w:t xml:space="preserve"> </w:t>
      </w:r>
      <w:r w:rsidR="007B05C6">
        <w:t>SD=</w:t>
      </w:r>
      <w:r w:rsidR="00A870BC">
        <w:t>6</w:t>
      </w:r>
      <w:r w:rsidR="007B05C6">
        <w:t>%</w:t>
      </w:r>
      <w:r w:rsidR="00645260">
        <w:t>)</w:t>
      </w:r>
      <w:r w:rsidR="008614C3">
        <w:t xml:space="preserve">, </w:t>
      </w:r>
      <w:proofErr w:type="gramStart"/>
      <w:r w:rsidR="008614C3">
        <w:t>U(</w:t>
      </w:r>
      <w:proofErr w:type="gramEnd"/>
      <w:r w:rsidR="008614C3">
        <w:t>1</w:t>
      </w:r>
      <w:r w:rsidR="00824F8D">
        <w:t>7</w:t>
      </w:r>
      <w:r w:rsidR="008614C3">
        <w:t>, 1</w:t>
      </w:r>
      <w:r w:rsidR="00824F8D">
        <w:t>5</w:t>
      </w:r>
      <w:r w:rsidR="008614C3">
        <w:t xml:space="preserve">) = </w:t>
      </w:r>
      <w:r w:rsidR="008614C3" w:rsidRPr="008614C3">
        <w:t>190</w:t>
      </w:r>
      <w:r w:rsidR="008614C3">
        <w:t>, p</w:t>
      </w:r>
      <w:r w:rsidR="00353AF8">
        <w:t xml:space="preserve"> </w:t>
      </w:r>
      <w:r w:rsidR="008614C3">
        <w:t>&lt;</w:t>
      </w:r>
      <w:r w:rsidR="00353AF8">
        <w:t xml:space="preserve"> </w:t>
      </w:r>
      <w:r w:rsidR="00B0491D">
        <w:t>.0</w:t>
      </w:r>
      <w:r w:rsidR="008614C3">
        <w:t>1</w:t>
      </w:r>
      <w:r w:rsidR="00A44F3D">
        <w:t>.</w:t>
      </w:r>
      <w:r w:rsidR="00645260">
        <w:t xml:space="preserve"> </w:t>
      </w:r>
      <w:r w:rsidR="004E58C3">
        <w:t xml:space="preserve">Participants with a notification were also faster in completing trials </w:t>
      </w:r>
      <w:r w:rsidR="00E05103">
        <w:t>(M=</w:t>
      </w:r>
      <w:r w:rsidR="004E58C3">
        <w:t>94</w:t>
      </w:r>
      <w:r w:rsidR="00E05103">
        <w:t>.</w:t>
      </w:r>
      <w:r w:rsidR="004E58C3">
        <w:t>98s</w:t>
      </w:r>
      <w:r w:rsidR="00E05103">
        <w:t>, SD=</w:t>
      </w:r>
      <w:r w:rsidR="004E58C3">
        <w:t>17</w:t>
      </w:r>
      <w:r w:rsidR="00E05103">
        <w:t>.</w:t>
      </w:r>
      <w:r w:rsidR="004E58C3">
        <w:t>69</w:t>
      </w:r>
      <w:r w:rsidR="00E05103">
        <w:t>s</w:t>
      </w:r>
      <w:r w:rsidR="00E05103" w:rsidRPr="00E05103">
        <w:t>) compared to</w:t>
      </w:r>
      <w:r w:rsidR="00E05103">
        <w:t xml:space="preserve"> participants</w:t>
      </w:r>
      <w:r w:rsidR="00E05103" w:rsidRPr="00E05103">
        <w:t xml:space="preserve"> </w:t>
      </w:r>
      <w:r w:rsidR="00E05103">
        <w:t>without a notification (M=</w:t>
      </w:r>
      <w:r w:rsidR="004E58C3">
        <w:t>122</w:t>
      </w:r>
      <w:r w:rsidR="00E05103">
        <w:t>.9</w:t>
      </w:r>
      <w:r w:rsidR="004E58C3">
        <w:t>0</w:t>
      </w:r>
      <w:r w:rsidR="00E05103">
        <w:t>s, SD=3</w:t>
      </w:r>
      <w:r w:rsidR="004E58C3">
        <w:t>5</w:t>
      </w:r>
      <w:r w:rsidR="00E05103">
        <w:t>.</w:t>
      </w:r>
      <w:r w:rsidR="004E58C3">
        <w:t>43</w:t>
      </w:r>
      <w:r w:rsidR="00797CFE">
        <w:t>s)</w:t>
      </w:r>
      <w:r w:rsidR="00AC7B87" w:rsidRPr="00AC7B87">
        <w:t xml:space="preserve">, </w:t>
      </w:r>
      <w:proofErr w:type="gramStart"/>
      <w:r w:rsidR="00FB0773">
        <w:t>t(</w:t>
      </w:r>
      <w:proofErr w:type="gramEnd"/>
      <w:r w:rsidR="00FB0773">
        <w:t xml:space="preserve">30) = </w:t>
      </w:r>
      <w:r w:rsidR="004E58C3">
        <w:t>2</w:t>
      </w:r>
      <w:r w:rsidR="00FB0773" w:rsidRPr="00DB70C0">
        <w:t>.</w:t>
      </w:r>
      <w:r w:rsidR="004E58C3">
        <w:t>96</w:t>
      </w:r>
      <w:r w:rsidR="00FB0773">
        <w:t xml:space="preserve">, p </w:t>
      </w:r>
      <w:r w:rsidR="004E58C3">
        <w:t>&lt; .01</w:t>
      </w:r>
      <w:r w:rsidR="00FB0773">
        <w:t>.</w:t>
      </w:r>
    </w:p>
    <w:p w14:paraId="62824E84" w14:textId="77777777" w:rsidR="00664A30" w:rsidRDefault="00664A30" w:rsidP="00AC7B87">
      <w:pPr>
        <w:spacing w:before="0" w:after="0"/>
        <w:ind w:firstLine="0"/>
        <w:rPr>
          <w:rFonts w:ascii="Helvetica" w:hAnsi="Helvetica"/>
          <w:szCs w:val="22"/>
        </w:rPr>
      </w:pPr>
    </w:p>
    <w:p w14:paraId="268B58BD" w14:textId="2C478BC6" w:rsidR="00F76D45" w:rsidRDefault="00F76D45" w:rsidP="00F76D45">
      <w:pPr>
        <w:pStyle w:val="Caption"/>
        <w:keepNext/>
      </w:pPr>
      <w:bookmarkStart w:id="4" w:name="_Ref503272422"/>
      <w:r>
        <w:t xml:space="preserve">Table </w:t>
      </w:r>
      <w:fldSimple w:instr=" SEQ Table \* ARABIC ">
        <w:r>
          <w:rPr>
            <w:noProof/>
          </w:rPr>
          <w:t>1</w:t>
        </w:r>
      </w:fldSimple>
      <w:bookmarkEnd w:id="4"/>
      <w:r>
        <w:t>. Means and standard deviations of dependent variables for each condition.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02"/>
        <w:gridCol w:w="1802"/>
        <w:gridCol w:w="1802"/>
        <w:gridCol w:w="1802"/>
        <w:gridCol w:w="1802"/>
      </w:tblGrid>
      <w:tr w:rsidR="00664A30" w14:paraId="1992D6B8" w14:textId="77777777" w:rsidTr="00CE1EE1">
        <w:tc>
          <w:tcPr>
            <w:tcW w:w="1802" w:type="dxa"/>
            <w:tcBorders>
              <w:bottom w:val="single" w:sz="4" w:space="0" w:color="auto"/>
              <w:right w:val="nil"/>
            </w:tcBorders>
          </w:tcPr>
          <w:p w14:paraId="15A97E12" w14:textId="57C9976C" w:rsidR="00664A30" w:rsidRDefault="00664A30" w:rsidP="00FF6E4E">
            <w:pPr>
              <w:pStyle w:val="Paragraph"/>
              <w:spacing w:line="264" w:lineRule="auto"/>
              <w:jc w:val="center"/>
            </w:pPr>
            <w:r>
              <w:t>Condition</w:t>
            </w:r>
          </w:p>
        </w:tc>
        <w:tc>
          <w:tcPr>
            <w:tcW w:w="1802" w:type="dxa"/>
            <w:tcBorders>
              <w:left w:val="nil"/>
              <w:bottom w:val="single" w:sz="4" w:space="0" w:color="auto"/>
              <w:right w:val="nil"/>
            </w:tcBorders>
          </w:tcPr>
          <w:p w14:paraId="22563B9A" w14:textId="6BC2FBD3" w:rsidR="00664A30" w:rsidRDefault="00664A30" w:rsidP="00FF6E4E">
            <w:pPr>
              <w:pStyle w:val="Paragraph"/>
              <w:spacing w:line="264" w:lineRule="auto"/>
              <w:jc w:val="center"/>
            </w:pPr>
            <w:r>
              <w:t>Number of switches</w:t>
            </w:r>
          </w:p>
        </w:tc>
        <w:tc>
          <w:tcPr>
            <w:tcW w:w="1802" w:type="dxa"/>
            <w:tcBorders>
              <w:left w:val="nil"/>
              <w:bottom w:val="single" w:sz="4" w:space="0" w:color="auto"/>
              <w:right w:val="nil"/>
            </w:tcBorders>
          </w:tcPr>
          <w:p w14:paraId="61394C39" w14:textId="61556418" w:rsidR="00664A30" w:rsidRDefault="00664A30" w:rsidP="00FF6E4E">
            <w:pPr>
              <w:pStyle w:val="Paragraph"/>
              <w:spacing w:line="264" w:lineRule="auto"/>
              <w:jc w:val="center"/>
            </w:pPr>
            <w:r>
              <w:t>Duration of switches</w:t>
            </w:r>
            <w:r w:rsidR="00E65F42">
              <w:t xml:space="preserve"> (s)</w:t>
            </w:r>
          </w:p>
        </w:tc>
        <w:tc>
          <w:tcPr>
            <w:tcW w:w="1802" w:type="dxa"/>
            <w:tcBorders>
              <w:left w:val="nil"/>
              <w:bottom w:val="single" w:sz="4" w:space="0" w:color="auto"/>
              <w:right w:val="nil"/>
            </w:tcBorders>
          </w:tcPr>
          <w:p w14:paraId="6E2E1945" w14:textId="6E0C3E94" w:rsidR="00664A30" w:rsidRDefault="00664A30" w:rsidP="00FF6E4E">
            <w:pPr>
              <w:pStyle w:val="Paragraph"/>
              <w:spacing w:line="264" w:lineRule="auto"/>
              <w:jc w:val="center"/>
            </w:pPr>
            <w:r>
              <w:t>Error rate</w:t>
            </w:r>
          </w:p>
        </w:tc>
        <w:tc>
          <w:tcPr>
            <w:tcW w:w="1802" w:type="dxa"/>
            <w:tcBorders>
              <w:left w:val="nil"/>
              <w:bottom w:val="single" w:sz="4" w:space="0" w:color="auto"/>
            </w:tcBorders>
          </w:tcPr>
          <w:p w14:paraId="798C61DA" w14:textId="40679895" w:rsidR="00664A30" w:rsidRDefault="00664A30" w:rsidP="00FF6E4E">
            <w:pPr>
              <w:pStyle w:val="Paragraph"/>
              <w:spacing w:line="264" w:lineRule="auto"/>
              <w:jc w:val="center"/>
            </w:pPr>
            <w:r>
              <w:t>Trial completion time</w:t>
            </w:r>
            <w:r w:rsidR="00E65F42">
              <w:t xml:space="preserve"> (s)</w:t>
            </w:r>
          </w:p>
        </w:tc>
      </w:tr>
      <w:tr w:rsidR="00664A30" w14:paraId="5E41B8A9" w14:textId="77777777" w:rsidTr="00CE1EE1">
        <w:tc>
          <w:tcPr>
            <w:tcW w:w="1802" w:type="dxa"/>
            <w:tcBorders>
              <w:bottom w:val="nil"/>
              <w:right w:val="nil"/>
            </w:tcBorders>
          </w:tcPr>
          <w:p w14:paraId="31440153" w14:textId="5E4FD95C" w:rsidR="00664A30" w:rsidRDefault="00664A30" w:rsidP="00FF6E4E">
            <w:pPr>
              <w:pStyle w:val="Paragraph"/>
              <w:spacing w:line="264" w:lineRule="auto"/>
              <w:jc w:val="center"/>
            </w:pPr>
            <w:r>
              <w:t>Control</w:t>
            </w:r>
          </w:p>
        </w:tc>
        <w:tc>
          <w:tcPr>
            <w:tcW w:w="1802" w:type="dxa"/>
            <w:tcBorders>
              <w:left w:val="nil"/>
              <w:bottom w:val="nil"/>
              <w:right w:val="nil"/>
            </w:tcBorders>
          </w:tcPr>
          <w:p w14:paraId="18F394A3" w14:textId="4D762460" w:rsidR="00664A30" w:rsidRDefault="00E65F42" w:rsidP="00FF6E4E">
            <w:pPr>
              <w:pStyle w:val="Paragraph"/>
              <w:spacing w:line="264" w:lineRule="auto"/>
              <w:jc w:val="center"/>
            </w:pPr>
            <w:r>
              <w:t>10.26 (1.29)</w:t>
            </w:r>
          </w:p>
        </w:tc>
        <w:tc>
          <w:tcPr>
            <w:tcW w:w="1802" w:type="dxa"/>
            <w:tcBorders>
              <w:left w:val="nil"/>
              <w:bottom w:val="nil"/>
              <w:right w:val="nil"/>
            </w:tcBorders>
          </w:tcPr>
          <w:p w14:paraId="5399EFA1" w14:textId="23EDD000" w:rsidR="00664A30" w:rsidRDefault="00E65F42" w:rsidP="00FF6E4E">
            <w:pPr>
              <w:pStyle w:val="Paragraph"/>
              <w:spacing w:line="264" w:lineRule="auto"/>
              <w:jc w:val="center"/>
            </w:pPr>
            <w:r>
              <w:t>7.11 (3.14)</w:t>
            </w:r>
          </w:p>
        </w:tc>
        <w:tc>
          <w:tcPr>
            <w:tcW w:w="1802" w:type="dxa"/>
            <w:tcBorders>
              <w:left w:val="nil"/>
              <w:bottom w:val="nil"/>
              <w:right w:val="nil"/>
            </w:tcBorders>
          </w:tcPr>
          <w:p w14:paraId="538AD917" w14:textId="64E3D2CE" w:rsidR="00664A30" w:rsidRDefault="00E65F42" w:rsidP="00FF6E4E">
            <w:pPr>
              <w:pStyle w:val="Paragraph"/>
              <w:spacing w:line="264" w:lineRule="auto"/>
              <w:jc w:val="center"/>
            </w:pPr>
            <w:r>
              <w:t>6% (6%)</w:t>
            </w:r>
          </w:p>
        </w:tc>
        <w:tc>
          <w:tcPr>
            <w:tcW w:w="1802" w:type="dxa"/>
            <w:tcBorders>
              <w:left w:val="nil"/>
              <w:bottom w:val="nil"/>
            </w:tcBorders>
          </w:tcPr>
          <w:p w14:paraId="10B72CE3" w14:textId="33A7AC74" w:rsidR="00664A30" w:rsidRDefault="00CA060F" w:rsidP="00FF6E4E">
            <w:pPr>
              <w:pStyle w:val="Paragraph"/>
              <w:spacing w:line="264" w:lineRule="auto"/>
              <w:jc w:val="center"/>
            </w:pPr>
            <w:r>
              <w:t>122.90</w:t>
            </w:r>
            <w:r w:rsidR="009111A5">
              <w:t xml:space="preserve"> (35.43</w:t>
            </w:r>
            <w:r w:rsidR="00E65F42">
              <w:t>)</w:t>
            </w:r>
          </w:p>
        </w:tc>
      </w:tr>
      <w:tr w:rsidR="00664A30" w14:paraId="030AFE47" w14:textId="77777777" w:rsidTr="00CE1EE1">
        <w:tc>
          <w:tcPr>
            <w:tcW w:w="1802" w:type="dxa"/>
            <w:tcBorders>
              <w:top w:val="nil"/>
              <w:right w:val="nil"/>
            </w:tcBorders>
          </w:tcPr>
          <w:p w14:paraId="1A560E14" w14:textId="38528E5E" w:rsidR="00664A30" w:rsidRDefault="00664A30" w:rsidP="00FF6E4E">
            <w:pPr>
              <w:pStyle w:val="Paragraph"/>
              <w:spacing w:line="264" w:lineRule="auto"/>
              <w:jc w:val="center"/>
            </w:pPr>
            <w:r>
              <w:t>Notification</w:t>
            </w:r>
          </w:p>
        </w:tc>
        <w:tc>
          <w:tcPr>
            <w:tcW w:w="1802" w:type="dxa"/>
            <w:tcBorders>
              <w:top w:val="nil"/>
              <w:left w:val="nil"/>
              <w:right w:val="nil"/>
            </w:tcBorders>
          </w:tcPr>
          <w:p w14:paraId="7266D135" w14:textId="0B6AB7DD" w:rsidR="00664A30" w:rsidRDefault="00276C8C" w:rsidP="00FF6E4E">
            <w:pPr>
              <w:pStyle w:val="Paragraph"/>
              <w:spacing w:line="264" w:lineRule="auto"/>
              <w:jc w:val="center"/>
            </w:pPr>
            <w:r>
              <w:t>10.80 (1.60</w:t>
            </w:r>
            <w:r w:rsidR="00E65F42">
              <w:t>)</w:t>
            </w:r>
          </w:p>
        </w:tc>
        <w:tc>
          <w:tcPr>
            <w:tcW w:w="1802" w:type="dxa"/>
            <w:tcBorders>
              <w:top w:val="nil"/>
              <w:left w:val="nil"/>
              <w:right w:val="nil"/>
            </w:tcBorders>
          </w:tcPr>
          <w:p w14:paraId="6D74C414" w14:textId="75515D53" w:rsidR="00664A30" w:rsidRDefault="00E65F42" w:rsidP="00FF6E4E">
            <w:pPr>
              <w:pStyle w:val="Paragraph"/>
              <w:spacing w:line="264" w:lineRule="auto"/>
              <w:jc w:val="center"/>
            </w:pPr>
            <w:r>
              <w:t>4.51 (1.80)</w:t>
            </w:r>
          </w:p>
        </w:tc>
        <w:tc>
          <w:tcPr>
            <w:tcW w:w="1802" w:type="dxa"/>
            <w:tcBorders>
              <w:top w:val="nil"/>
              <w:left w:val="nil"/>
              <w:right w:val="nil"/>
            </w:tcBorders>
          </w:tcPr>
          <w:p w14:paraId="33932DC6" w14:textId="131B237F" w:rsidR="00664A30" w:rsidRDefault="00E65F42" w:rsidP="00FF6E4E">
            <w:pPr>
              <w:pStyle w:val="Paragraph"/>
              <w:spacing w:line="264" w:lineRule="auto"/>
              <w:jc w:val="center"/>
            </w:pPr>
            <w:r>
              <w:t>2% (2%)</w:t>
            </w:r>
          </w:p>
        </w:tc>
        <w:tc>
          <w:tcPr>
            <w:tcW w:w="1802" w:type="dxa"/>
            <w:tcBorders>
              <w:top w:val="nil"/>
              <w:left w:val="nil"/>
            </w:tcBorders>
          </w:tcPr>
          <w:p w14:paraId="304FDE2C" w14:textId="6FA004A6" w:rsidR="00664A30" w:rsidRDefault="009111A5" w:rsidP="00FF6E4E">
            <w:pPr>
              <w:pStyle w:val="Paragraph"/>
              <w:spacing w:line="264" w:lineRule="auto"/>
              <w:jc w:val="center"/>
            </w:pPr>
            <w:r>
              <w:t>94</w:t>
            </w:r>
            <w:r w:rsidR="00E65F42">
              <w:t>.</w:t>
            </w:r>
            <w:r>
              <w:t>98</w:t>
            </w:r>
            <w:r w:rsidR="00E65F42">
              <w:t xml:space="preserve"> (</w:t>
            </w:r>
            <w:r>
              <w:t>17</w:t>
            </w:r>
            <w:r w:rsidR="00E65F42">
              <w:t>.</w:t>
            </w:r>
            <w:r>
              <w:t>69</w:t>
            </w:r>
            <w:r w:rsidR="00E65F42">
              <w:t>)</w:t>
            </w:r>
          </w:p>
        </w:tc>
      </w:tr>
    </w:tbl>
    <w:p w14:paraId="5E242A01" w14:textId="77777777" w:rsidR="0026285E" w:rsidRDefault="00FB0C62" w:rsidP="007C08EA">
      <w:pPr>
        <w:jc w:val="center"/>
      </w:pPr>
      <w:r>
        <w:rPr>
          <w:noProof/>
          <w:lang w:val="en-US"/>
        </w:rPr>
        <w:drawing>
          <wp:inline distT="0" distB="0" distL="0" distR="0" wp14:anchorId="4C3C117B" wp14:editId="696EC59E">
            <wp:extent cx="3251835" cy="20174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durVisits.png"/>
                    <pic:cNvPicPr/>
                  </pic:nvPicPr>
                  <pic:blipFill>
                    <a:blip r:embed="rId9">
                      <a:extLst>
                        <a:ext uri="{28A0092B-C50C-407E-A947-70E740481C1C}">
                          <a14:useLocalDpi xmlns:a14="http://schemas.microsoft.com/office/drawing/2010/main" val="0"/>
                        </a:ext>
                      </a:extLst>
                    </a:blip>
                    <a:stretch>
                      <a:fillRect/>
                    </a:stretch>
                  </pic:blipFill>
                  <pic:spPr>
                    <a:xfrm>
                      <a:off x="0" y="0"/>
                      <a:ext cx="3265933" cy="2026182"/>
                    </a:xfrm>
                    <a:prstGeom prst="rect">
                      <a:avLst/>
                    </a:prstGeom>
                  </pic:spPr>
                </pic:pic>
              </a:graphicData>
            </a:graphic>
          </wp:inline>
        </w:drawing>
      </w:r>
    </w:p>
    <w:p w14:paraId="4812C292" w14:textId="78590C9D" w:rsidR="00FB0C62" w:rsidRDefault="0026285E" w:rsidP="0026285E">
      <w:pPr>
        <w:pStyle w:val="Caption"/>
      </w:pPr>
      <w:bookmarkStart w:id="5" w:name="_Ref503272305"/>
      <w:r>
        <w:t xml:space="preserve">Figure </w:t>
      </w:r>
      <w:fldSimple w:instr=" SEQ Figure \* ARABIC ">
        <w:r w:rsidR="00F44890">
          <w:rPr>
            <w:noProof/>
          </w:rPr>
          <w:t>4</w:t>
        </w:r>
      </w:fldSimple>
      <w:bookmarkEnd w:id="5"/>
      <w:r>
        <w:t>. Boxplot of duration of switches away from the data entry interface in each condition.</w:t>
      </w:r>
    </w:p>
    <w:p w14:paraId="1C200F80" w14:textId="098EDF87" w:rsidR="00664050" w:rsidRPr="0007712B" w:rsidRDefault="00664050" w:rsidP="00497E07">
      <w:pPr>
        <w:pStyle w:val="Heading1"/>
      </w:pPr>
      <w:r w:rsidRPr="0007712B">
        <w:t>Discussion</w:t>
      </w:r>
    </w:p>
    <w:p w14:paraId="36F18AFD" w14:textId="764DFE34" w:rsidR="005303D7" w:rsidRPr="0011224F" w:rsidRDefault="00F4416B" w:rsidP="00497E07">
      <w:pPr>
        <w:pStyle w:val="Paragraph"/>
        <w:ind w:firstLine="0"/>
      </w:pPr>
      <w:r w:rsidRPr="0011224F">
        <w:t>The aim of</w:t>
      </w:r>
      <w:r w:rsidR="00D13A68" w:rsidRPr="0011224F">
        <w:t xml:space="preserve"> this study was to see whether</w:t>
      </w:r>
      <w:r w:rsidR="00AA05D5" w:rsidRPr="0011224F">
        <w:t xml:space="preserve"> showing people how long they switch on average </w:t>
      </w:r>
      <w:r w:rsidR="005303D7" w:rsidRPr="0011224F">
        <w:t xml:space="preserve">reduces the number and </w:t>
      </w:r>
      <w:r w:rsidR="009E549D" w:rsidRPr="0011224F">
        <w:t>length</w:t>
      </w:r>
      <w:r w:rsidR="005303D7" w:rsidRPr="0011224F">
        <w:t xml:space="preserve"> of their switches. </w:t>
      </w:r>
      <w:r w:rsidR="00AA05D5" w:rsidRPr="0011224F">
        <w:t xml:space="preserve">The results show that </w:t>
      </w:r>
      <w:r w:rsidR="005303D7" w:rsidRPr="0011224F">
        <w:t xml:space="preserve">people </w:t>
      </w:r>
      <w:r w:rsidR="000F56DA" w:rsidRPr="0011224F">
        <w:t xml:space="preserve">can </w:t>
      </w:r>
      <w:r w:rsidR="005303D7" w:rsidRPr="0011224F">
        <w:t xml:space="preserve">benefit from receiving </w:t>
      </w:r>
      <w:r w:rsidR="000F56DA" w:rsidRPr="0011224F">
        <w:t xml:space="preserve">feedback on the </w:t>
      </w:r>
      <w:r w:rsidR="007F14A2" w:rsidRPr="0011224F">
        <w:t>length</w:t>
      </w:r>
      <w:r w:rsidR="000F56DA" w:rsidRPr="0011224F">
        <w:t xml:space="preserve"> of their switches: participants made shorter </w:t>
      </w:r>
      <w:r w:rsidR="00973CD2" w:rsidRPr="0011224F">
        <w:t>switches</w:t>
      </w:r>
      <w:r w:rsidR="00A95328" w:rsidRPr="0011224F">
        <w:t>,</w:t>
      </w:r>
      <w:r w:rsidR="002600EE" w:rsidRPr="0011224F">
        <w:t xml:space="preserve"> were faster to complete the task,</w:t>
      </w:r>
      <w:r w:rsidR="000F56DA" w:rsidRPr="0011224F">
        <w:t xml:space="preserve"> </w:t>
      </w:r>
      <w:r w:rsidR="007131AB" w:rsidRPr="0011224F">
        <w:t xml:space="preserve">and </w:t>
      </w:r>
      <w:r w:rsidR="00482ABC" w:rsidRPr="0011224F">
        <w:t xml:space="preserve">made </w:t>
      </w:r>
      <w:r w:rsidR="007131AB" w:rsidRPr="0011224F">
        <w:t xml:space="preserve">fewer errors. </w:t>
      </w:r>
      <w:r w:rsidR="00635E77" w:rsidRPr="0011224F">
        <w:t xml:space="preserve">These </w:t>
      </w:r>
      <w:r w:rsidR="00331970" w:rsidRPr="0011224F">
        <w:t xml:space="preserve">findings </w:t>
      </w:r>
      <w:r w:rsidR="00635E77" w:rsidRPr="0011224F">
        <w:t>suggest that shorter</w:t>
      </w:r>
      <w:r w:rsidR="00B83786" w:rsidRPr="0011224F">
        <w:t xml:space="preserve"> switches can lead to </w:t>
      </w:r>
      <w:r w:rsidR="00635E77" w:rsidRPr="0011224F">
        <w:t xml:space="preserve">better </w:t>
      </w:r>
      <w:r w:rsidR="00B83786" w:rsidRPr="0011224F">
        <w:t xml:space="preserve">task </w:t>
      </w:r>
      <w:r w:rsidR="00635E77" w:rsidRPr="0011224F">
        <w:t xml:space="preserve">performance, </w:t>
      </w:r>
      <w:r w:rsidR="00331970" w:rsidRPr="0011224F">
        <w:t xml:space="preserve">and </w:t>
      </w:r>
      <w:r w:rsidR="00635E77" w:rsidRPr="0011224F">
        <w:t>are in</w:t>
      </w:r>
      <w:r w:rsidR="00DF69A5" w:rsidRPr="0011224F">
        <w:t xml:space="preserve"> line with</w:t>
      </w:r>
      <w:r w:rsidR="004D303D" w:rsidRPr="0011224F">
        <w:t xml:space="preserve"> previous studies connecting the duration of an interruption t</w:t>
      </w:r>
      <w:r w:rsidR="000B6E2B" w:rsidRPr="0011224F">
        <w:t xml:space="preserve">o its </w:t>
      </w:r>
      <w:r w:rsidR="00585633" w:rsidRPr="0011224F">
        <w:t>di</w:t>
      </w:r>
      <w:r w:rsidR="006F2014" w:rsidRPr="0011224F">
        <w:t>sruptiveness</w:t>
      </w:r>
      <w:r w:rsidR="00B640EE" w:rsidRPr="0011224F">
        <w:t xml:space="preserve"> </w:t>
      </w:r>
      <w:r w:rsidR="00B640EE" w:rsidRPr="0011224F">
        <w:fldChar w:fldCharType="begin" w:fldLock="1"/>
      </w:r>
      <w:r w:rsidR="00B640EE" w:rsidRPr="0011224F">
        <w:instrText>ADDIN CSL_CITATION { "citationItems" : [ { "id" : "ITEM-1", "itemData" : { "DOI" : "10.1037/xap0000117", "abstract" : "We investigated effects of task interruption on procedural performance, focusing on the effect of interruption length on the rates of different categories of error at the point of task resumption. Interruption length affected errors involving loss of place in the procedure (sequence errors) but not errors involving incorrect execution of a correct step (nonsequence errors), implicating memory for past performance, rather than generalized attentional resources, as the disrupted cognitive process. Within the category of sequence errors, interruption length produced a complex pattern of effects, with repetitions of the preinterruption step showing different effects than errors at other offsets from the correct step. A cognitive model we developed previously accounts for the results in terms of decay and rehearsal of memory for past performance and activation spreading through a procedural representation of task knowledge. The model links different types of errors to different cognitive processes, informs potential interventions, and predicts interruption effects for sequential tasks like problem solving and counting.",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Applied", "id" : "ITEM-1", "issued" : { "date-parts" : [ [ "2017" ] ] }, "title" : "Effects of Interruption Length on Procedural Errors", "type" : "article-journal" }, "uris" : [ "http://www.mendeley.com/documents/?uuid=e3a14320-1225-374e-91f2-bc887b065bcf" ] }, { "id" : "ITEM-2", "itemData" : { "DOI" : "10.1037/a0014402", "ISBN" : "1939-2192", "ISSN" : "1939-2192", "PMID" : "19102614", "abstract" : "The time to resume task goals after an interruption varied depending on the duration and cognitive demand of interruptions, as predicted by the memory for goals model (Altmann &amp; Trafton, 2002). Three experiments using an interleaved tasks interruption paradigm showed that longer and more demanding interruptions led to longer resumption times in a hierarchical, interactive task. The resumption time profile for durations up to 1 min supported the role of decay in defining resumption costs, and the interaction between duration and demand supported the importance of goal rehearsal in mitigating decay. These findings supported the memory for goals model, and had practical implications for context where tasks are frequently interleaved such as office settings, driving, emergency rooms, and aircraft cockpits.", "author" : [ { "dropping-particle" : "", "family" : "Monk", "given" : "Christopher A.", "non-dropping-particle" : "", "parse-names" : false, "suffix" : "" }, { "dropping-particle" : "", "family" : "Trafton", "given" : "J. Gregory", "non-dropping-particle" : "", "parse-names" : false, "suffix" : "" }, { "dropping-particle" : "", "family" : "Boehm-Davis", "given" : "Deborah A.", "non-dropping-particle" : "", "parse-names" : false, "suffix" : "" } ], "container-title" : "Journal of Experimental Psychology: Applied", "id" : "ITEM-2", "issue" : "4", "issued" : { "date-parts" : [ [ "2008" ] ] }, "page" : "299-313", "title" : "The effect of interruption duration and demand on resuming suspended goals.", "type" : "article-journal", "volume" : "14" }, "uris" : [ "http://www.mendeley.com/documents/?uuid=d17db185-1d17-4a57-a6e8-7598396b199f" ] } ], "mendeley" : { "formattedCitation" : "(Altmann et al., 2017; Monk et al., 2008)", "plainTextFormattedCitation" : "(Altmann et al., 2017; Monk et al., 2008)", "previouslyFormattedCitation" : "(Altmann et al., 2017; Monk et al., 2008)" }, "properties" : {  }, "schema" : "https://github.com/citation-style-language/schema/raw/master/csl-citation.json" }</w:instrText>
      </w:r>
      <w:r w:rsidR="00B640EE" w:rsidRPr="0011224F">
        <w:fldChar w:fldCharType="separate"/>
      </w:r>
      <w:r w:rsidR="00B640EE" w:rsidRPr="0011224F">
        <w:rPr>
          <w:noProof/>
        </w:rPr>
        <w:t>(Altmann et al., 2017; Monk et al., 2008)</w:t>
      </w:r>
      <w:r w:rsidR="00B640EE" w:rsidRPr="0011224F">
        <w:fldChar w:fldCharType="end"/>
      </w:r>
      <w:r w:rsidR="00B83786" w:rsidRPr="0011224F">
        <w:t>.</w:t>
      </w:r>
    </w:p>
    <w:p w14:paraId="3AEAD315" w14:textId="2B50C83A" w:rsidR="00EB38B6" w:rsidRPr="0011224F" w:rsidRDefault="00331970" w:rsidP="00497E07">
      <w:pPr>
        <w:pStyle w:val="Paragraph"/>
      </w:pPr>
      <w:r w:rsidRPr="0011224F">
        <w:t>Nevertheless, as</w:t>
      </w:r>
      <w:r w:rsidR="007759B1" w:rsidRPr="0011224F">
        <w:t xml:space="preserve"> </w:t>
      </w:r>
      <w:r w:rsidR="00D23636" w:rsidRPr="0011224F">
        <w:t>even short interruptions can have a negative effect on performance</w:t>
      </w:r>
      <w:r w:rsidR="00B640EE" w:rsidRPr="0011224F">
        <w:t xml:space="preserve"> </w:t>
      </w:r>
      <w:r w:rsidR="001C795B" w:rsidRPr="0011224F">
        <w:fldChar w:fldCharType="begin" w:fldLock="1"/>
      </w:r>
      <w:r w:rsidR="001C795B" w:rsidRPr="0011224F">
        <w:instrText>ADDIN CSL_CITATION { "citationItems" : [ { "id" : "ITEM-1", "itemData" : { "DOI" : "10.1037/a0030986", "ISBN" : "1939-2222 (Electronic)\\r0022-1015 (Linking)", "ISSN" : "00963445", "PMID" : "23294345", "abstract" : "We investigated the effect of short interruptions on performance of a task that required participants to maintain their place in a sequence of steps each with their own performance requirements. Interruptions averaging 4.4 s long tripled the rate of sequence errors on post-interruption trials relative to baseline trials. Interruptions averaging 2.8 s long--about the time to perform a step in the interrupted task--doubled the rate of sequence errors. Nonsequence errors showed no interruption effects, suggesting that global attentional processes were not disrupted. Response latencies showed smaller interruption effects than sequence errors, a difference we interpret in terms of high levels of interference generated by the primary task. The results are consistent with an account in which activation spreading from the focus of attention allows control processes to navigate task-relevant representations and in which momentary interruptions are disruptive because they shift the focus and thereby cut off the flow.",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General", "id" : "ITEM-1", "issue" : "1", "issued" : { "date-parts" : [ [ "2014" ] ] }, "page" : "215-226", "title" : "Momentary interruptions can derail the train of thought", "type" : "article-journal", "volume" : "143" }, "uris" : [ "http://www.mendeley.com/documents/?uuid=a4216c87-822f-4e2e-8dca-e3c1aaabdfe0" ] } ], "mendeley" : { "formattedCitation" : "(Altmann, Trafton, &amp; Hambrick, 2014)", "plainTextFormattedCitation" : "(Altmann, Trafton, &amp; Hambrick, 2014)", "previouslyFormattedCitation" : "(Altmann, Trafton, &amp; Hambrick, 2014)" }, "properties" : {  }, "schema" : "https://github.com/citation-style-language/schema/raw/master/csl-citation.json" }</w:instrText>
      </w:r>
      <w:r w:rsidR="001C795B" w:rsidRPr="0011224F">
        <w:fldChar w:fldCharType="separate"/>
      </w:r>
      <w:r w:rsidR="001C795B" w:rsidRPr="0011224F">
        <w:rPr>
          <w:noProof/>
        </w:rPr>
        <w:t>(Altmann, Trafton, &amp; Hambrick, 2014)</w:t>
      </w:r>
      <w:r w:rsidR="001C795B" w:rsidRPr="0011224F">
        <w:fldChar w:fldCharType="end"/>
      </w:r>
      <w:r w:rsidR="001C795B" w:rsidRPr="0011224F">
        <w:t xml:space="preserve">, </w:t>
      </w:r>
      <w:r w:rsidR="007759B1" w:rsidRPr="0011224F">
        <w:t xml:space="preserve">we were also </w:t>
      </w:r>
      <w:r w:rsidR="00CD0315" w:rsidRPr="0011224F">
        <w:t>curious as to</w:t>
      </w:r>
      <w:r w:rsidR="007578EA" w:rsidRPr="0011224F">
        <w:t xml:space="preserve"> </w:t>
      </w:r>
      <w:r w:rsidR="007759B1" w:rsidRPr="0011224F">
        <w:t xml:space="preserve">whether the number of switches could be reduced. </w:t>
      </w:r>
      <w:r w:rsidR="00AA05D5" w:rsidRPr="0011224F">
        <w:t xml:space="preserve">Interestingly, </w:t>
      </w:r>
      <w:r w:rsidR="00161C32" w:rsidRPr="0011224F">
        <w:t>feedback on switching duration</w:t>
      </w:r>
      <w:r w:rsidR="008A1EC2" w:rsidRPr="0011224F">
        <w:t xml:space="preserve"> did not reduce the number of switches</w:t>
      </w:r>
      <w:r w:rsidR="00EB38B6" w:rsidRPr="0011224F">
        <w:t xml:space="preserve"> as in prior work</w:t>
      </w:r>
      <w:r w:rsidR="001C795B" w:rsidRPr="0011224F">
        <w:t xml:space="preserve"> </w:t>
      </w:r>
      <w:r w:rsidR="001C795B" w:rsidRPr="0011224F">
        <w:fldChar w:fldCharType="begin" w:fldLock="1"/>
      </w:r>
      <w:r w:rsidR="001C795B" w:rsidRPr="0011224F">
        <w:instrText>ADDIN CSL_CITATION { "citationItems" : [ { "id" : "ITEM-1", "itemData" : { "DOI" : "10.1145/2928269", "ISSN" : "15577325", "author" : [ { "dropping-particle" : "", "family" : "Gould", "given" : "Sandy J.J.", "non-dropping-particle" : "", "parse-names" : false, "suffix" : "" }, { "dropping-particle" : "", "family" : "Cox", "given" : "Anna L.", "non-dropping-particle" : "", "parse-names" : false, "suffix" : "" }, { "dropping-particle" : "", "family" : "Brumby", "given" : "Duncan P.", "non-dropping-particle" : "", "parse-names" : false, "suffix" : "" } ], "id" : "ITEM-1", "issue" : "3", "issued" : { "date-parts" : [ [ "2016" ] ] }, "page" : "1-27", "title" : "Diminished Control in Crowdsourcing: An Investigation of Crowdworker Multitasking Behavior  ", "type" : "article-journal", "volume" : "23" }, "uris" : [ "http://www.mendeley.com/documents/?uuid=ca9f9432-c750-4dd2-9733-644b4507b50a" ] } ], "mendeley" : { "formattedCitation" : "(Gould et al., 2016)", "plainTextFormattedCitation" : "(Gould et al., 2016)", "previouslyFormattedCitation" : "(Gould et al., 2016)" }, "properties" : {  }, "schema" : "https://github.com/citation-style-language/schema/raw/master/csl-citation.json" }</w:instrText>
      </w:r>
      <w:r w:rsidR="001C795B" w:rsidRPr="0011224F">
        <w:fldChar w:fldCharType="separate"/>
      </w:r>
      <w:r w:rsidR="001C795B" w:rsidRPr="0011224F">
        <w:rPr>
          <w:noProof/>
        </w:rPr>
        <w:t>(Gould et al., 2016)</w:t>
      </w:r>
      <w:r w:rsidR="001C795B" w:rsidRPr="0011224F">
        <w:fldChar w:fldCharType="end"/>
      </w:r>
      <w:r w:rsidR="00FD06BA" w:rsidRPr="0011224F">
        <w:t>. This could</w:t>
      </w:r>
      <w:r w:rsidR="00865C8B" w:rsidRPr="0011224F">
        <w:t xml:space="preserve"> be explained</w:t>
      </w:r>
      <w:r w:rsidR="00214F32" w:rsidRPr="0011224F">
        <w:t xml:space="preserve"> by the moment </w:t>
      </w:r>
      <w:r w:rsidR="007A29F9" w:rsidRPr="0011224F">
        <w:t xml:space="preserve">in the task </w:t>
      </w:r>
      <w:r w:rsidR="00214F32" w:rsidRPr="0011224F">
        <w:t xml:space="preserve">that </w:t>
      </w:r>
      <w:r w:rsidR="007A29F9" w:rsidRPr="0011224F">
        <w:t xml:space="preserve">people received feedback. </w:t>
      </w:r>
      <w:r w:rsidR="00EB38B6" w:rsidRPr="0011224F">
        <w:t>I</w:t>
      </w:r>
      <w:r w:rsidR="00DE084A" w:rsidRPr="0011224F">
        <w:t xml:space="preserve">n </w:t>
      </w:r>
      <w:proofErr w:type="gramStart"/>
      <w:r w:rsidR="00DE084A" w:rsidRPr="0011224F">
        <w:t>Gould</w:t>
      </w:r>
      <w:proofErr w:type="gramEnd"/>
      <w:r w:rsidR="00DE084A" w:rsidRPr="0011224F">
        <w:t xml:space="preserve"> et al.’s study</w:t>
      </w:r>
      <w:r w:rsidR="00EB38B6" w:rsidRPr="0011224F">
        <w:t>,</w:t>
      </w:r>
      <w:r w:rsidR="00D852EE" w:rsidRPr="0011224F">
        <w:t xml:space="preserve"> </w:t>
      </w:r>
      <w:r w:rsidR="007A29F9" w:rsidRPr="0011224F">
        <w:t xml:space="preserve">feedback </w:t>
      </w:r>
      <w:r w:rsidR="00C96B55" w:rsidRPr="0011224F">
        <w:t xml:space="preserve">appeared </w:t>
      </w:r>
      <w:r w:rsidR="007A29F9" w:rsidRPr="0011224F">
        <w:t xml:space="preserve">after </w:t>
      </w:r>
      <w:r w:rsidR="007A29F9" w:rsidRPr="0011224F">
        <w:rPr>
          <w:i/>
        </w:rPr>
        <w:t>every</w:t>
      </w:r>
      <w:r w:rsidR="007A29F9" w:rsidRPr="0011224F">
        <w:t xml:space="preserve"> </w:t>
      </w:r>
      <w:r w:rsidR="007A29F9" w:rsidRPr="0011224F">
        <w:rPr>
          <w:i/>
        </w:rPr>
        <w:t>switch.</w:t>
      </w:r>
      <w:r w:rsidR="007A29F9" w:rsidRPr="0011224F">
        <w:t xml:space="preserve"> </w:t>
      </w:r>
      <w:r w:rsidR="00C96B55" w:rsidRPr="0011224F">
        <w:t>Participants</w:t>
      </w:r>
      <w:r w:rsidR="001B30B8" w:rsidRPr="0011224F">
        <w:t xml:space="preserve"> may have tried to </w:t>
      </w:r>
      <w:r w:rsidR="00D41E76" w:rsidRPr="0011224F">
        <w:t>reduce s</w:t>
      </w:r>
      <w:r w:rsidR="007F7882" w:rsidRPr="0011224F">
        <w:t xml:space="preserve">witches, either because they were more aware of every switch or because they wanted to </w:t>
      </w:r>
      <w:r w:rsidR="001B30B8" w:rsidRPr="0011224F">
        <w:t>avoid the message</w:t>
      </w:r>
      <w:r w:rsidR="00D41E76" w:rsidRPr="0011224F">
        <w:t xml:space="preserve">. </w:t>
      </w:r>
      <w:r w:rsidR="001B30B8" w:rsidRPr="0011224F">
        <w:t xml:space="preserve">In </w:t>
      </w:r>
      <w:r w:rsidR="006F2014" w:rsidRPr="0011224F">
        <w:t xml:space="preserve">contrast to our study, </w:t>
      </w:r>
      <w:r w:rsidR="000C14E6" w:rsidRPr="0011224F">
        <w:t xml:space="preserve">their </w:t>
      </w:r>
      <w:r w:rsidR="006F2014" w:rsidRPr="0011224F">
        <w:t>p</w:t>
      </w:r>
      <w:r w:rsidR="007A29F9" w:rsidRPr="0011224F">
        <w:t xml:space="preserve">articipants were not supposed to switch, so the number of switches was lower. </w:t>
      </w:r>
      <w:r w:rsidR="006F2014" w:rsidRPr="0011224F">
        <w:t>In</w:t>
      </w:r>
      <w:r w:rsidR="00865C8B" w:rsidRPr="0011224F">
        <w:t xml:space="preserve"> our study </w:t>
      </w:r>
      <w:r w:rsidR="00EB38B6" w:rsidRPr="0011224F">
        <w:t xml:space="preserve">participants </w:t>
      </w:r>
      <w:r w:rsidR="00522E6F" w:rsidRPr="0011224F">
        <w:t>were switching more often as they had</w:t>
      </w:r>
      <w:r w:rsidR="00214F32" w:rsidRPr="0011224F">
        <w:t xml:space="preserve"> to as part of the task</w:t>
      </w:r>
      <w:r w:rsidR="00522E6F" w:rsidRPr="0011224F">
        <w:t xml:space="preserve">: </w:t>
      </w:r>
      <w:r w:rsidR="006F2014" w:rsidRPr="0011224F">
        <w:t>on average</w:t>
      </w:r>
      <w:r w:rsidR="001A64E8" w:rsidRPr="0011224F">
        <w:t>,</w:t>
      </w:r>
      <w:r w:rsidR="00522E6F" w:rsidRPr="0011224F">
        <w:t xml:space="preserve"> they</w:t>
      </w:r>
      <w:r w:rsidR="006F2014" w:rsidRPr="0011224F">
        <w:t xml:space="preserve"> switched once for every data entry</w:t>
      </w:r>
      <w:r w:rsidR="00522E6F" w:rsidRPr="0011224F">
        <w:t xml:space="preserve"> (i.e., ten times per trial)</w:t>
      </w:r>
      <w:r w:rsidR="00214F32" w:rsidRPr="0011224F">
        <w:t>. G</w:t>
      </w:r>
      <w:r w:rsidR="00EB38B6" w:rsidRPr="0011224F">
        <w:t xml:space="preserve">iving notifications </w:t>
      </w:r>
      <w:r w:rsidR="00865C8B" w:rsidRPr="0011224F">
        <w:t>at</w:t>
      </w:r>
      <w:r w:rsidR="00EB38B6" w:rsidRPr="0011224F">
        <w:t xml:space="preserve"> every switch would have had the risk of overexposing </w:t>
      </w:r>
      <w:r w:rsidR="00865C8B" w:rsidRPr="0011224F">
        <w:t xml:space="preserve">participants to </w:t>
      </w:r>
      <w:r w:rsidR="00EB38B6" w:rsidRPr="0011224F">
        <w:t>notifications and limiting its usefulness</w:t>
      </w:r>
      <w:r w:rsidR="001C795B" w:rsidRPr="0011224F">
        <w:t xml:space="preserve"> </w:t>
      </w:r>
      <w:r w:rsidR="001C795B" w:rsidRPr="0011224F">
        <w:fldChar w:fldCharType="begin" w:fldLock="1"/>
      </w:r>
      <w:r w:rsidR="0021615C" w:rsidRPr="0011224F">
        <w:instrText>ADDIN CSL_CITATION { "citationItems" : [ { "id" : "ITEM-1", "itemData" : { "abstract" : "We describe a study on the influence of instant messaging (IM) on ongoing computing tasks. The study both replicates and extends earlier work on the cost of sending notifications at different times and the sensitivity of different tasks to interruption. We investigate alternative hypotheses about the nature of disruption for a list evaluation task, an activity identified as being particularly costly to interrupt. Our findings once again show the generally disruptive effects of IM, especially during fast, stimulus-driven search tasks. In addition, we show that interruptions coming early during a search task are more likely to result in the user forgetting the primary task goal than interruptions that arrive later on. These findings have implications for the design of user interfaces and notification policies that minimize the disruptiveness of notifications.", "author" : [ { "dropping-particle" : "", "family" : "Cutrell", "given" : "Edward", "non-dropping-particle" : "", "parse-names" : false, "suffix" : "" }, { "dropping-particle" : "", "family" : "Czerwinski", "given" : "Mary", "non-dropping-particle" : "", "parse-names" : false, "suffix" : "" }, { "dropping-particle" : "", "family" : "Horvitz", "given" : "Eric", "non-dropping-particle" : "", "parse-names" : false, "suffix" : "" } ], "container-title" : "Proceedings of INTERACT 2001", "id" : "ITEM-1", "issued" : { "date-parts" : [ [ "2001" ] ] }, "page" : "263-269", "publisher" : "Springer", "publisher-place" : "New York, NY, USA", "title" : "Notification, Disruption, and Memory: Effects of Messaging Interruptions on Memory and Performance", "type" : "paper-conference" }, "uris" : [ "http://www.mendeley.com/documents/?uuid=b81be6dd-84a0-34c8-8107-0bebd3992ed6" ] }, { "id" : "ITEM-2", "itemData" : { "ISBN" : "9781450333627", "author" : [ { "dropping-particle" : "", "family" : "Whittaker", "given" : "Steve", "non-dropping-particle" : "", "parse-names" : false, "suffix" : "" }, { "dropping-particle" : "", "family" : "Hollis", "given" : "Victoria", "non-dropping-particle" : "", "parse-names" : false, "suffix" : "" }, { "dropping-particle" : "", "family" : "Guydish", "given" : "Andrew", "non-dropping-particle" : "", "parse-names" : false, "suffix" : "" } ], "container-title" : "Proceedings of the SIGCHI Conference on Human Factors in Computing Systems (CHI 16)", "id" : "ITEM-2", "issued" : { "date-parts" : [ [ "2016" ] ] }, "page" : "1729-1738", "publisher-place" : "San Jose, CA, USA", "title" : "'Don't Waste My Time \u2019: Use of Time Information Improves Focus", "type" : "paper-conference" }, "uris" : [ "http://www.mendeley.com/documents/?uuid=ae8bfa72-b3a2-403f-b63a-69d54ecd5d9c" ] } ], "mendeley" : { "formattedCitation" : "(Cutrell, Czerwinski, &amp; Horvitz, 2001; Whittaker et al., 2016)", "plainTextFormattedCitation" : "(Cutrell, Czerwinski, &amp; Horvitz, 2001; Whittaker et al., 2016)", "previouslyFormattedCitation" : "(Cutrell, Czerwinski, &amp; Horvitz, 2001; Whittaker et al., 2016)" }, "properties" : {  }, "schema" : "https://github.com/citation-style-language/schema/raw/master/csl-citation.json" }</w:instrText>
      </w:r>
      <w:r w:rsidR="001C795B" w:rsidRPr="0011224F">
        <w:fldChar w:fldCharType="separate"/>
      </w:r>
      <w:r w:rsidR="0021615C" w:rsidRPr="0011224F">
        <w:rPr>
          <w:noProof/>
        </w:rPr>
        <w:t>(Cutrell, Czerwinski, &amp; Horvitz, 2001; Whittaker et al., 2016)</w:t>
      </w:r>
      <w:r w:rsidR="001C795B" w:rsidRPr="0011224F">
        <w:fldChar w:fldCharType="end"/>
      </w:r>
      <w:r w:rsidR="00EB38B6" w:rsidRPr="0011224F">
        <w:t>. Therefore,</w:t>
      </w:r>
      <w:r w:rsidR="00DE084A" w:rsidRPr="0011224F">
        <w:t xml:space="preserve"> feedback was only given after </w:t>
      </w:r>
      <w:r w:rsidR="00DE084A" w:rsidRPr="0011224F">
        <w:rPr>
          <w:i/>
        </w:rPr>
        <w:t>every trial</w:t>
      </w:r>
      <w:r w:rsidR="00DE084A" w:rsidRPr="0011224F">
        <w:t>.</w:t>
      </w:r>
      <w:r w:rsidR="00D852EE" w:rsidRPr="0011224F">
        <w:t xml:space="preserve"> </w:t>
      </w:r>
      <w:r w:rsidR="00EB38B6" w:rsidRPr="0011224F">
        <w:t xml:space="preserve">Future </w:t>
      </w:r>
      <w:r w:rsidR="00994A2A" w:rsidRPr="0011224F">
        <w:t xml:space="preserve">data entry </w:t>
      </w:r>
      <w:r w:rsidR="00EB38B6" w:rsidRPr="0011224F">
        <w:t>studies</w:t>
      </w:r>
      <w:r w:rsidR="00994A2A" w:rsidRPr="0011224F">
        <w:t xml:space="preserve"> that require fewer switches are needed to see if a notification</w:t>
      </w:r>
      <w:r w:rsidR="00EB38B6" w:rsidRPr="0011224F">
        <w:t xml:space="preserve"> </w:t>
      </w:r>
      <w:r w:rsidR="00994A2A" w:rsidRPr="0011224F">
        <w:t>upon</w:t>
      </w:r>
      <w:r w:rsidR="00EB38B6" w:rsidRPr="0011224F">
        <w:t xml:space="preserve"> every switch</w:t>
      </w:r>
      <w:r w:rsidR="00994A2A" w:rsidRPr="0011224F">
        <w:t xml:space="preserve"> </w:t>
      </w:r>
      <w:r w:rsidR="00EB38B6" w:rsidRPr="0011224F">
        <w:t xml:space="preserve">can reduce both the number and </w:t>
      </w:r>
      <w:r w:rsidR="00F55743" w:rsidRPr="0011224F">
        <w:t>length</w:t>
      </w:r>
      <w:r w:rsidR="00EB38B6" w:rsidRPr="0011224F">
        <w:t xml:space="preserve"> of switches. </w:t>
      </w:r>
      <w:r w:rsidR="00801BA6" w:rsidRPr="0011224F">
        <w:t>Moreover</w:t>
      </w:r>
      <w:r w:rsidR="00EB38B6" w:rsidRPr="0011224F">
        <w:t xml:space="preserve">, because the notification only showed information regarding the duration of switches, participants may have focused on reducing the duration, rather than number of switches. </w:t>
      </w:r>
    </w:p>
    <w:p w14:paraId="0C4293F7" w14:textId="7126DA73" w:rsidR="00214F32" w:rsidRPr="0011224F" w:rsidRDefault="00214F32" w:rsidP="00497E07">
      <w:pPr>
        <w:pStyle w:val="Paragraph"/>
      </w:pPr>
      <w:r w:rsidRPr="0011224F">
        <w:t>The current study used focus and blur events to analyse switching behaviour. This meant that task switches outside the device</w:t>
      </w:r>
      <w:r w:rsidR="00FA0D56" w:rsidRPr="0011224F">
        <w:t>, with the task window still in focus,</w:t>
      </w:r>
      <w:r w:rsidRPr="0011224F">
        <w:t xml:space="preserve"> were not captured. </w:t>
      </w:r>
      <w:r w:rsidR="00BA7988" w:rsidRPr="0011224F">
        <w:t xml:space="preserve">Possibly participants </w:t>
      </w:r>
      <w:r w:rsidR="00FA0D56" w:rsidRPr="0011224F">
        <w:t>learnt</w:t>
      </w:r>
      <w:r w:rsidR="00122550" w:rsidRPr="0011224F">
        <w:t xml:space="preserve"> to not interrupt themselves when they were away from this window, but after they had returned to the window. </w:t>
      </w:r>
      <w:r w:rsidR="00E3144D" w:rsidRPr="0011224F">
        <w:t>Without an accurate estimate of how long participants should take to complete the task, it is difficult to determine moments at which participants were away from their computer</w:t>
      </w:r>
      <w:r w:rsidR="0021615C" w:rsidRPr="0011224F">
        <w:t xml:space="preserve"> </w:t>
      </w:r>
      <w:r w:rsidR="0021615C" w:rsidRPr="0011224F">
        <w:fldChar w:fldCharType="begin" w:fldLock="1"/>
      </w:r>
      <w:r w:rsidR="0021615C" w:rsidRPr="0011224F">
        <w:instrText>ADDIN CSL_CITATION { "citationItems" : [ { "id" : "ITEM-1", "itemData" : { "ISBN" : "9781577356318", "abstract" : "Participants in human computation workflows may become fatigued or get bored over long, interminable working hours. This leads to a slump of motivation and morale, which in the long run causes reductions in both productivity and work quality. In this paper we propose an initial investigation into possible ways to alleviate worker fatigue and boredom by employing micro-breaks that provide timely relax to workers during long sequences of tasks. We experimentally test micro-breaks on Amazon\u2019s Mechanical Turk, showing that micro-breaks can significantly improve worker retention rate as task batches reach hours in length, and appear to increase overall worker engagement and commitment to their work.", "author" : [ { "dropping-particle" : "", "family" : "Rzeszotarski", "given" : "Jeffrey M", "non-dropping-particle" : "", "parse-names" : false, "suffix" : "" }, { "dropping-particle" : "", "family" : "Chi", "given" : "Ed", "non-dropping-particle" : "", "parse-names" : false, "suffix" : "" }, { "dropping-particle" : "", "family" : "Paritosh", "given" : "Praveen", "non-dropping-particle" : "", "parse-names" : false, "suffix" : "" }, { "dropping-particle" : "", "family" : "Dai", "given" : "Peng", "non-dropping-particle" : "", "parse-names" : false, "suffix" : "" } ], "container-title" : "AAAI Publications, First AAAI Conference on Human Computation and Crowdsourcing", "id" : "ITEM-1", "issued" : { "date-parts" : [ [ "2013" ] ] }, "number-of-pages" : "62-63", "title" : "Inserting Micro-Breaks into Crowdsourcing Workflows", "type" : "report" }, "uris" : [ "http://www.mendeley.com/documents/?uuid=346ff920-fd0c-4ed8-98f0-6ca1a3c830e4" ] } ], "mendeley" : { "formattedCitation" : "(Rzeszotarski, Chi, Paritosh, &amp; Dai, 2013)", "plainTextFormattedCitation" : "(Rzeszotarski, Chi, Paritosh, &amp; Dai, 2013)", "previouslyFormattedCitation" : "(Rzeszotarski, Chi, Paritosh, &amp; Dai, 2013)" }, "properties" : {  }, "schema" : "https://github.com/citation-style-language/schema/raw/master/csl-citation.json" }</w:instrText>
      </w:r>
      <w:r w:rsidR="0021615C" w:rsidRPr="0011224F">
        <w:fldChar w:fldCharType="separate"/>
      </w:r>
      <w:r w:rsidR="0021615C" w:rsidRPr="0011224F">
        <w:rPr>
          <w:noProof/>
        </w:rPr>
        <w:t>(Rzeszotarski, Chi, Paritosh, &amp; Dai, 2013)</w:t>
      </w:r>
      <w:r w:rsidR="0021615C" w:rsidRPr="0011224F">
        <w:fldChar w:fldCharType="end"/>
      </w:r>
      <w:r w:rsidR="00FA0D56" w:rsidRPr="0011224F">
        <w:t>.</w:t>
      </w:r>
      <w:r w:rsidR="00BA7988" w:rsidRPr="0011224F">
        <w:t xml:space="preserve"> </w:t>
      </w:r>
      <w:r w:rsidR="00AE3261" w:rsidRPr="0011224F">
        <w:t xml:space="preserve"> Using other </w:t>
      </w:r>
      <w:r w:rsidR="00924A7B" w:rsidRPr="0011224F">
        <w:t>techniques, such as</w:t>
      </w:r>
      <w:r w:rsidR="003D5F54" w:rsidRPr="0011224F">
        <w:t xml:space="preserve"> prompts at random intervals to confirm </w:t>
      </w:r>
      <w:r w:rsidR="00BA7988" w:rsidRPr="0011224F">
        <w:t>people</w:t>
      </w:r>
      <w:r w:rsidR="00AE3261" w:rsidRPr="0011224F">
        <w:t xml:space="preserve"> are still working on the task, may be able to give a further insight</w:t>
      </w:r>
      <w:r w:rsidR="00BA7988" w:rsidRPr="0011224F">
        <w:t xml:space="preserve"> whether our intervention changes overall self-interruption behaviour. </w:t>
      </w:r>
    </w:p>
    <w:p w14:paraId="0C44FA0A" w14:textId="6B6A393E" w:rsidR="0007287A" w:rsidRPr="0011224F" w:rsidRDefault="009E2CDE" w:rsidP="00497E07">
      <w:pPr>
        <w:pStyle w:val="Paragraph"/>
      </w:pPr>
      <w:r w:rsidRPr="0011224F">
        <w:t xml:space="preserve">Most studies on self-interruptions </w:t>
      </w:r>
      <w:r w:rsidR="00A626B5" w:rsidRPr="0011224F">
        <w:t>introduced</w:t>
      </w:r>
      <w:r w:rsidRPr="0011224F">
        <w:t xml:space="preserve"> an artificial </w:t>
      </w:r>
      <w:r w:rsidR="00A626B5" w:rsidRPr="0011224F">
        <w:t>distraction</w:t>
      </w:r>
      <w:r w:rsidRPr="0011224F">
        <w:t xml:space="preserve">, such as chat messages, to </w:t>
      </w:r>
      <w:r w:rsidR="00CC40ED" w:rsidRPr="0011224F">
        <w:t>measure when, how long, and how often</w:t>
      </w:r>
      <w:r w:rsidRPr="0011224F">
        <w:t xml:space="preserve"> people self-interrupt to</w:t>
      </w:r>
      <w:r w:rsidR="00563FE2" w:rsidRPr="0011224F">
        <w:t xml:space="preserve"> attend to this </w:t>
      </w:r>
      <w:r w:rsidR="00052D8E">
        <w:t>distracting task</w:t>
      </w:r>
      <w:r w:rsidR="0021615C" w:rsidRPr="0011224F">
        <w:t xml:space="preserve"> </w:t>
      </w:r>
      <w:r w:rsidR="0021615C" w:rsidRPr="0011224F">
        <w:fldChar w:fldCharType="begin" w:fldLock="1"/>
      </w:r>
      <w:r w:rsidR="0021615C" w:rsidRPr="0011224F">
        <w:instrText>ADDIN CSL_CITATION { "citationItems" : [ { "id" : "ITEM-1", "itemData" : { "DOI" : "10.1177/0018720813504216", "ISSN" : "0018-7208", "author" : [ { "dropping-particle" : "", "family" : "Katidioti", "given" : "Ioanna", "non-dropping-particle" : "", "parse-names" : false, "suffix" : "" }, { "dropping-particle" : "", "family" : "Taatgen", "given" : "Niels A.", "non-dropping-particle" : "", "parse-names" : false, "suffix" : "" } ], "container-title" : "Human Factors: The Journal of the Human Factors and Ergonomics Society", "id" : "ITEM-1", "issue" : "4", "issued" : { "date-parts" : [ [ "2013", "9", "26" ] ] }, "note" : "- people switch at delays, but makes them slower; makes them forget information\n\nExperiment\n4 conditions (delay/diffcult, delay/easy, no delay/difficult, no delay/easy)\n2 tasks\nTask 1: mail task, memorise product information in email and switch to browser to look up price; then return to email and reply with answer\nTask 2: at random moments chat message, participants could switch whenever they wanted\n\nIV\ndelay/no delay after every link\n=&amp;gt; after link 1 or 2 information still has to be held in memory, so better to not switch\n=&amp;gt; after link 3, nothing in working memory so good moment to switch\ndifficulty questions chat (easy/difficult)\n=&amp;gt; easy were yes/no, difficult were open-ended\n\ndelay when searching for price: creates a clear low-workload moment in middle of the task\n3 s delay when switching to email window\n\nResults\n- more switches on high workload in delay condition\n- spent more time on each mail in delay condition\n- switched at delays at link 1 and link 2 in delay condition, but lost sign. more time (2.3 s) overall than that they gained (0.5 s)\n- participants were sign. slower when they forgot the information and had to go back to check\n\nTake-aways:\n- delay in primary task strong trigger for switching to secondary task\n- switch as soon as resources available", "page" : "728-736", "title" : "Choice in Multitasking: How Delays in the Primary Task Turn a Rational Into an Irrational Multitasker", "type" : "article-journal", "volume" : "56" }, "uris" : [ "http://www.mendeley.com/documents/?uuid=713ba37a-7b56-48a1-9606-0517fee1579c" ] }, { "id" : "ITEM-2", "itemData" : { "abstract" : "Recent research has found that forced interruptions at points of higher mental workload are more disruptive than at points of lower workload. This paper investigates a complementary idea: when users experience deferrable interruptions at points of higher workload, they may tend to defer processing of the interruption until times of lower workload. In an experiment, users performed a mail-browser primary task while being occasionally interrupted by a secondary chat task, evenly distributed between points of higher and lower workload. Analysis showed that 94% of the time, users switched to the interrupting task during periods of lower workload, versus only 6% during periods of higher workload. The results suggest that when interruptions can be deferred, users have a strong tendency to \" monotask \" until primary-task mental workload has been minimized.", "author" : [ { "dropping-particle" : "", "family" : "Salvucci", "given" : "Dario D", "non-dropping-particle" : "", "parse-names" : false, "suffix" : "" }, { "dropping-particle" : "", "family" : "Bogunovich", "given" : "Peter", "non-dropping-particle" : "", "parse-names" : false, "suffix" : "" } ], "container-title" : "CHI 2010", "id" : "ITEM-2", "issued" : { "date-parts" : [ [ "2010" ] ] }, "publisher-place" : "Atlanta, GA, USA", "title" : "Multitasking and Monotasking: The Effects of Mental Workload on Deferred Task Interruptions", "type" : "paper-conference" }, "uris" : [ "http://www.mendeley.com/documents/?uuid=05503b3e-eae9-3ad0-b83e-427a54d92c8f" ] } ], "mendeley" : { "formattedCitation" : "(Katidioti &amp; Taatgen, 2013; Salvucci &amp; Bogunovich, 2010)", "plainTextFormattedCitation" : "(Katidioti &amp; Taatgen, 2013; Salvucci &amp; Bogunovich, 2010)", "previouslyFormattedCitation" : "(Katidioti &amp; Taatgen, 2013; Salvucci &amp; Bogunovich, 2010)" }, "properties" : {  }, "schema" : "https://github.com/citation-style-language/schema/raw/master/csl-citation.json" }</w:instrText>
      </w:r>
      <w:r w:rsidR="0021615C" w:rsidRPr="0011224F">
        <w:fldChar w:fldCharType="separate"/>
      </w:r>
      <w:r w:rsidR="0021615C" w:rsidRPr="0011224F">
        <w:rPr>
          <w:noProof/>
        </w:rPr>
        <w:t>(Katidioti &amp; Taatgen, 2013; Salvucci &amp; Bogunovich, 2010)</w:t>
      </w:r>
      <w:r w:rsidR="0021615C" w:rsidRPr="0011224F">
        <w:fldChar w:fldCharType="end"/>
      </w:r>
      <w:r w:rsidRPr="0011224F">
        <w:t xml:space="preserve">. </w:t>
      </w:r>
      <w:r w:rsidR="001729CA" w:rsidRPr="0011224F">
        <w:t>The current</w:t>
      </w:r>
      <w:r w:rsidRPr="0011224F">
        <w:t xml:space="preserve"> study makes a small methodological contribution by using participants’ own personal email inbox, based on the assumption that </w:t>
      </w:r>
      <w:r w:rsidR="00A62F34" w:rsidRPr="0011224F">
        <w:t>email</w:t>
      </w:r>
      <w:r w:rsidRPr="0011224F">
        <w:t xml:space="preserve"> provide</w:t>
      </w:r>
      <w:r w:rsidR="00A62F34" w:rsidRPr="0011224F">
        <w:t>s</w:t>
      </w:r>
      <w:r w:rsidRPr="0011224F">
        <w:t xml:space="preserve"> a source of distraction</w:t>
      </w:r>
      <w:r w:rsidR="0021615C" w:rsidRPr="0011224F">
        <w:t xml:space="preserve"> </w:t>
      </w:r>
      <w:r w:rsidR="0021615C" w:rsidRPr="0011224F">
        <w:fldChar w:fldCharType="begin" w:fldLock="1"/>
      </w:r>
      <w:r w:rsidR="000B7C76">
        <w:instrText>ADDIN CSL_CITATION { "citationItems" : [ { "id" : "ITEM-1", "itemData" : { "DOI" : "10.1145/2702123.2702351", "abstract" : "In this paper we describe a study exploring why users spend more time in email than originally intended, which we call getting lost in email. To study this phenomenon, we imple-mented an IMAP logger that also dispatched diary entries to collect data for twenty participants over a two week period. Most participants reported getting lost in email during both short and long sessions. Our analysis suggests two primary factors in getting lost: the number of emails awaiting a re-ply and whether or not the session caused an interruption. We conclude that much of the problem around getting lost in email is in managing the tension between promptly respond-ing to messages while limiting engagement with email.", "author" : [ { "dropping-particle" : "V", "family" : "Hanrahan", "given" : "Benjamin", "non-dropping-particle" : "", "parse-names" : false, "suffix" : "" }, { "dropping-particle" : "", "family" : "P\u00e9rez-Qu", "given" : "Manuel A", "non-dropping-particle" : "", "parse-names" : false, "suffix" : "" } ], "container-title" : "CHI'15", "id" : "ITEM-1", "issued" : { "date-parts" : [ [ "2015" ] ] }, "page" : "3981-3984", "title" : "Lost in Email: Pulling Users Down a Path of Interaction", "type" : "paper-conference" }, "uris" : [ "http://www.mendeley.com/documents/?uuid=201e9f61-1cf7-3860-9e43-c12a28449b1e" ] }, { "id" : "ITEM-2", "itemData" : { "ISBN" : "9781450333627", "author" : [ { "dropping-particle" : "", "family" : "Mark", "given" : "Gloria", "non-dropping-particle" : "", "parse-names" : false, "suffix" : "" }, { "dropping-particle" : "", "family" : "Iqbal", "given" : "Shamsi T", "non-dropping-particle" : "", "parse-names" : false, "suffix" : "" }, { "dropping-particle" : "", "family" : "Czerwinski", "given" : "Mary", "non-dropping-particle" : "", "parse-names" : false, "suffix" : "" }, { "dropping-particle" : "", "family" : "Johns", "given" : "Paul", "non-dropping-particle" : "", "parse-names" : false, "suffix" : "" }, { "dropping-particle" : "", "family" : "Sano", "given" : "Akane", "non-dropping-particle" : "", "parse-names" : false, "suffix" : "" } ], "container-title" : "CHI 2016", "id" : "ITEM-2", "issued" : { "date-parts" : [ [ "2016" ] ] }, "title" : "Email duration, batching and self-interruption: Patterns of email use on productivity and stress", "type" : "paper-conference" }, "uris" : [ "http://www.mendeley.com/documents/?uuid=6e23e4df-2064-40da-b565-d6b67619760b" ] } ], "mendeley" : { "formattedCitation" : "(Hanrahan &amp; P\u00e9rez-Qu, 2015; Mark et al., 2016)", "plainTextFormattedCitation" : "(Hanrahan &amp; P\u00e9rez-Qu, 2015; Mark et al., 2016)", "previouslyFormattedCitation" : "(Hanrahan &amp; P\u00e9rez-Qu, 2015; Mark et al., 2016)" }, "properties" : {  }, "schema" : "https://github.com/citation-style-language/schema/raw/master/csl-citation.json" }</w:instrText>
      </w:r>
      <w:r w:rsidR="0021615C" w:rsidRPr="0011224F">
        <w:fldChar w:fldCharType="separate"/>
      </w:r>
      <w:r w:rsidR="000B7C76" w:rsidRPr="000B7C76">
        <w:rPr>
          <w:noProof/>
        </w:rPr>
        <w:t>(Hanrahan &amp; Pérez-Qu, 2015; Mark et al., 2016)</w:t>
      </w:r>
      <w:r w:rsidR="0021615C" w:rsidRPr="0011224F">
        <w:fldChar w:fldCharType="end"/>
      </w:r>
      <w:r w:rsidRPr="0011224F">
        <w:t xml:space="preserve">. </w:t>
      </w:r>
      <w:r w:rsidR="001729CA" w:rsidRPr="0011224F">
        <w:t>However, i</w:t>
      </w:r>
      <w:r w:rsidR="008A32D4" w:rsidRPr="0011224F">
        <w:t xml:space="preserve">n our study, participants only needed to </w:t>
      </w:r>
      <w:r w:rsidR="001729CA" w:rsidRPr="0011224F">
        <w:t>find and open an</w:t>
      </w:r>
      <w:r w:rsidR="008A32D4" w:rsidRPr="0011224F">
        <w:t xml:space="preserve"> email once.</w:t>
      </w:r>
      <w:r w:rsidR="000E21B1" w:rsidRPr="0011224F">
        <w:t xml:space="preserve"> Once they had this email opened, they did not have to re-find it in their inbox for the remainder of the experiment</w:t>
      </w:r>
      <w:r w:rsidR="00AF3E7B" w:rsidRPr="0011224F">
        <w:t>, and may have had this email maximised on their screen, hiding incoming messages</w:t>
      </w:r>
      <w:r w:rsidR="000E21B1" w:rsidRPr="0011224F">
        <w:t>.</w:t>
      </w:r>
      <w:r w:rsidR="008A32D4" w:rsidRPr="0011224F">
        <w:t xml:space="preserve"> In practice however, people have to first find the email</w:t>
      </w:r>
      <w:r w:rsidR="00AF3E7B" w:rsidRPr="0011224F">
        <w:t xml:space="preserve"> in their inbox,</w:t>
      </w:r>
      <w:r w:rsidR="008A32D4" w:rsidRPr="0011224F">
        <w:t xml:space="preserve"> w</w:t>
      </w:r>
      <w:r w:rsidR="00AF3E7B" w:rsidRPr="0011224F">
        <w:t>hich can</w:t>
      </w:r>
      <w:r w:rsidR="00A40A2A" w:rsidRPr="0011224F">
        <w:t xml:space="preserve"> partly</w:t>
      </w:r>
      <w:r w:rsidR="00AF3E7B" w:rsidRPr="0011224F">
        <w:t xml:space="preserve"> contribute to</w:t>
      </w:r>
      <w:r w:rsidR="00052D8E">
        <w:t xml:space="preserve"> the distraction. </w:t>
      </w:r>
      <w:r w:rsidR="008D16DA" w:rsidRPr="0011224F">
        <w:t xml:space="preserve">Our study has already shown an effect </w:t>
      </w:r>
      <w:r w:rsidR="008B6EAD" w:rsidRPr="0011224F">
        <w:t>on behaviour by switching to an email inbox</w:t>
      </w:r>
      <w:r w:rsidR="008D16DA" w:rsidRPr="0011224F">
        <w:t xml:space="preserve">. </w:t>
      </w:r>
      <w:r w:rsidR="00612226" w:rsidRPr="0011224F">
        <w:t xml:space="preserve">We expect there to be a higher potential for distraction if people have to </w:t>
      </w:r>
      <w:r w:rsidR="00AD3F1D" w:rsidRPr="0011224F">
        <w:t xml:space="preserve">also </w:t>
      </w:r>
      <w:r w:rsidR="00612226" w:rsidRPr="0011224F">
        <w:t>find th</w:t>
      </w:r>
      <w:r w:rsidR="0007287A" w:rsidRPr="0011224F">
        <w:t>e correct email in their inbox.</w:t>
      </w:r>
    </w:p>
    <w:p w14:paraId="6F7422DB" w14:textId="79CCC512" w:rsidR="00052D8E" w:rsidRPr="0011224F" w:rsidRDefault="00563FE2" w:rsidP="00052D8E">
      <w:pPr>
        <w:pStyle w:val="Paragraph"/>
      </w:pPr>
      <w:r w:rsidRPr="0011224F">
        <w:t xml:space="preserve">The results of our experiment indicate that showing people how long they switch on average reduces the duration of switches and can improve people’s task performance. The work makes a contribution to our understanding of switching behaviour for routine data entry tasks to distracting, but task-relevant, applications such as email. Our results also suggest ways in which </w:t>
      </w:r>
      <w:r w:rsidR="00FF6EB2">
        <w:t xml:space="preserve">tendencies </w:t>
      </w:r>
      <w:r w:rsidRPr="0011224F">
        <w:t xml:space="preserve">to </w:t>
      </w:r>
      <w:r w:rsidR="00BD459A">
        <w:t>attend to</w:t>
      </w:r>
      <w:bookmarkStart w:id="6" w:name="_GoBack"/>
      <w:bookmarkEnd w:id="6"/>
      <w:r w:rsidR="00BD459A">
        <w:t xml:space="preserve"> distractions</w:t>
      </w:r>
      <w:r w:rsidRPr="0011224F">
        <w:t xml:space="preserve"> might be </w:t>
      </w:r>
      <w:r w:rsidR="00BD459A">
        <w:t>mitigated</w:t>
      </w:r>
      <w:r w:rsidRPr="0011224F">
        <w:t xml:space="preserve">, and can provide a useful pointer for the design of productivity </w:t>
      </w:r>
      <w:r w:rsidR="00DC33B1" w:rsidRPr="0011224F">
        <w:t>interventions to improve focus.</w:t>
      </w:r>
      <w:r w:rsidR="00052D8E" w:rsidRPr="00052D8E">
        <w:t xml:space="preserve"> </w:t>
      </w:r>
      <w:r w:rsidR="00052D8E" w:rsidRPr="0011224F">
        <w:t xml:space="preserve">In </w:t>
      </w:r>
      <w:r w:rsidR="00BD459A">
        <w:t>the current</w:t>
      </w:r>
      <w:r w:rsidR="00052D8E" w:rsidRPr="0011224F">
        <w:t xml:space="preserve"> study, an experimental task was used in order to measure task performance. We plan on running a follow-up study with participants doing their own data entry work, to </w:t>
      </w:r>
      <w:r w:rsidR="00D75E9B">
        <w:t>evaluate</w:t>
      </w:r>
      <w:r w:rsidR="00052D8E" w:rsidRPr="0011224F">
        <w:t xml:space="preserve"> whether the </w:t>
      </w:r>
      <w:r w:rsidR="00D75E9B">
        <w:t xml:space="preserve">positive </w:t>
      </w:r>
      <w:r w:rsidR="00052D8E" w:rsidRPr="0011224F">
        <w:t xml:space="preserve">effect of time feedback on people’s switching behaviour can extend to naturalistic tasks. </w:t>
      </w:r>
    </w:p>
    <w:p w14:paraId="0A385685" w14:textId="6E5E9337" w:rsidR="00EA55BE" w:rsidRPr="004D5B68" w:rsidRDefault="00EA55BE" w:rsidP="004D5B68">
      <w:pPr>
        <w:pStyle w:val="Paragraph"/>
      </w:pPr>
    </w:p>
    <w:p w14:paraId="1FD51CE8" w14:textId="23D4FDD8" w:rsidR="002B69FB" w:rsidRPr="00EA55BE" w:rsidRDefault="00EA55BE" w:rsidP="004D5B68">
      <w:pPr>
        <w:pStyle w:val="Heading1"/>
      </w:pPr>
      <w:r>
        <w:t>References</w:t>
      </w:r>
    </w:p>
    <w:p w14:paraId="39F5937D" w14:textId="092627FF" w:rsidR="00DF4509" w:rsidRPr="00DF4509" w:rsidRDefault="00EA55BE" w:rsidP="00DF4509">
      <w:pPr>
        <w:widowControl w:val="0"/>
        <w:autoSpaceDE w:val="0"/>
        <w:autoSpaceDN w:val="0"/>
        <w:adjustRightInd w:val="0"/>
        <w:ind w:left="480" w:hanging="480"/>
        <w:rPr>
          <w:rFonts w:eastAsia="Times New Roman" w:cs="Times New Roman"/>
          <w:noProof/>
        </w:rPr>
      </w:pPr>
      <w:r>
        <w:rPr>
          <w:szCs w:val="22"/>
        </w:rPr>
        <w:fldChar w:fldCharType="begin" w:fldLock="1"/>
      </w:r>
      <w:r>
        <w:rPr>
          <w:szCs w:val="22"/>
        </w:rPr>
        <w:instrText xml:space="preserve">ADDIN Mendeley Bibliography CSL_BIBLIOGRAPHY </w:instrText>
      </w:r>
      <w:r>
        <w:rPr>
          <w:szCs w:val="22"/>
        </w:rPr>
        <w:fldChar w:fldCharType="separate"/>
      </w:r>
      <w:r w:rsidR="00DF4509" w:rsidRPr="00DF4509">
        <w:rPr>
          <w:rFonts w:eastAsia="Times New Roman" w:cs="Times New Roman"/>
          <w:noProof/>
        </w:rPr>
        <w:t xml:space="preserve">Altmann, E. M., Trafton, J. G., &amp; Hambrick, D. Z. (2014). Momentary interruptions can derail the train of thought. </w:t>
      </w:r>
      <w:r w:rsidR="00DF4509" w:rsidRPr="00DF4509">
        <w:rPr>
          <w:rFonts w:eastAsia="Times New Roman" w:cs="Times New Roman"/>
          <w:i/>
          <w:iCs/>
          <w:noProof/>
        </w:rPr>
        <w:t>Journal of Experimental Psychology: General</w:t>
      </w:r>
      <w:r w:rsidR="00DF4509" w:rsidRPr="00DF4509">
        <w:rPr>
          <w:rFonts w:eastAsia="Times New Roman" w:cs="Times New Roman"/>
          <w:noProof/>
        </w:rPr>
        <w:t xml:space="preserve">, </w:t>
      </w:r>
      <w:r w:rsidR="00DF4509" w:rsidRPr="00DF4509">
        <w:rPr>
          <w:rFonts w:eastAsia="Times New Roman" w:cs="Times New Roman"/>
          <w:i/>
          <w:iCs/>
          <w:noProof/>
        </w:rPr>
        <w:t>143</w:t>
      </w:r>
      <w:r w:rsidR="00DF4509" w:rsidRPr="00DF4509">
        <w:rPr>
          <w:rFonts w:eastAsia="Times New Roman" w:cs="Times New Roman"/>
          <w:noProof/>
        </w:rPr>
        <w:t>(1), 215–226. https://doi.org/10.1037/a0030986</w:t>
      </w:r>
    </w:p>
    <w:p w14:paraId="1D27FAFA"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Altmann, E. M., Trafton, J. G., &amp; Hambrick, D. Z. (2017). Effects of Interruption Length on Procedural Errors. </w:t>
      </w:r>
      <w:r w:rsidRPr="00DF4509">
        <w:rPr>
          <w:rFonts w:eastAsia="Times New Roman" w:cs="Times New Roman"/>
          <w:i/>
          <w:iCs/>
          <w:noProof/>
        </w:rPr>
        <w:t>Journal of Experimental Psychology: Applied</w:t>
      </w:r>
      <w:r w:rsidRPr="00DF4509">
        <w:rPr>
          <w:rFonts w:eastAsia="Times New Roman" w:cs="Times New Roman"/>
          <w:noProof/>
        </w:rPr>
        <w:t>. https://doi.org/10.1037/xap0000117</w:t>
      </w:r>
    </w:p>
    <w:p w14:paraId="21D4171F"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Borghouts, J., Brumby, D. P., &amp; Cox, A. L. (2017). Batching, Error Checking and Data Collecting : Understanding Data Entry in a Financial Office. In </w:t>
      </w:r>
      <w:r w:rsidRPr="00DF4509">
        <w:rPr>
          <w:rFonts w:eastAsia="Times New Roman" w:cs="Times New Roman"/>
          <w:i/>
          <w:iCs/>
          <w:noProof/>
        </w:rPr>
        <w:t>Proceedings of 15th European Conference on Computer-Supported Cooperative Work</w:t>
      </w:r>
      <w:r w:rsidRPr="00DF4509">
        <w:rPr>
          <w:rFonts w:eastAsia="Times New Roman" w:cs="Times New Roman"/>
          <w:noProof/>
        </w:rPr>
        <w:t>. Sheffield, UK. https://doi.org/10.18420/ecscw2017-4</w:t>
      </w:r>
    </w:p>
    <w:p w14:paraId="6087D2FB"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Collins, E. I. M., Cox, A. L., Bird, J., &amp; Cornish-Tresstail, C. (2014). Barriers to engagement with a personal informatics productivity tool. </w:t>
      </w:r>
      <w:r w:rsidRPr="00DF4509">
        <w:rPr>
          <w:rFonts w:eastAsia="Times New Roman" w:cs="Times New Roman"/>
          <w:i/>
          <w:iCs/>
          <w:noProof/>
        </w:rPr>
        <w:t>Proceedings of the 26th Australian Computer-Human Interaction Conference on Designing Futures the Future of Design - OzCHI ’14</w:t>
      </w:r>
      <w:r w:rsidRPr="00DF4509">
        <w:rPr>
          <w:rFonts w:eastAsia="Times New Roman" w:cs="Times New Roman"/>
          <w:noProof/>
        </w:rPr>
        <w:t>, 370–379. https://doi.org/10.1145/2686612.2686668</w:t>
      </w:r>
    </w:p>
    <w:p w14:paraId="55B5D567"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Cutrell, E., Czerwinski, M., &amp; Horvitz, E. (2001). Notification, Disruption, and Memory: Effects of Messaging Interruptions on Memory and Performance. In </w:t>
      </w:r>
      <w:r w:rsidRPr="00DF4509">
        <w:rPr>
          <w:rFonts w:eastAsia="Times New Roman" w:cs="Times New Roman"/>
          <w:i/>
          <w:iCs/>
          <w:noProof/>
        </w:rPr>
        <w:t>Proceedings of INTERACT 2001</w:t>
      </w:r>
      <w:r w:rsidRPr="00DF4509">
        <w:rPr>
          <w:rFonts w:eastAsia="Times New Roman" w:cs="Times New Roman"/>
          <w:noProof/>
        </w:rPr>
        <w:t xml:space="preserve"> (pp. 263–269). New York, NY, USA: Springer. Retrieved from https://www.microsoft.com/en-us/research/wp-content/uploads/2016/02/Interact2001Messaging.pdf</w:t>
      </w:r>
    </w:p>
    <w:p w14:paraId="3BC8B1AD"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Gonzalez, V. M., &amp; Mark, G. (2004). “Constant, Constant, Multi-tasking Craziness”: Managing Multiple Working Spheres. In </w:t>
      </w:r>
      <w:r w:rsidRPr="00DF4509">
        <w:rPr>
          <w:rFonts w:eastAsia="Times New Roman" w:cs="Times New Roman"/>
          <w:i/>
          <w:iCs/>
          <w:noProof/>
        </w:rPr>
        <w:t>Proceedings of the SIGCHI Conference on Human Factors in Computing Systems (CHI ’04)</w:t>
      </w:r>
      <w:r w:rsidRPr="00DF4509">
        <w:rPr>
          <w:rFonts w:eastAsia="Times New Roman" w:cs="Times New Roman"/>
          <w:noProof/>
        </w:rPr>
        <w:t xml:space="preserve"> (pp. 113–120). Vienna, Austria. Retrieved from http://delivery.acm.org/10.1145/990000/985707/p113-gonzalez.pdf?key1=985707&amp;key2=9709385111&amp;coll=GUIDE&amp;dl=GUIDE&amp;CFID=44938518&amp;CFTOKEN=14011566</w:t>
      </w:r>
    </w:p>
    <w:p w14:paraId="1D550AD9"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Gould, S. J. J., Cox, A. L., &amp; Brumby, D. P. (2016). Diminished Control in Crowdsourcing: An Investigation of Crowdworker Multitasking Behavior  , </w:t>
      </w:r>
      <w:r w:rsidRPr="00DF4509">
        <w:rPr>
          <w:rFonts w:eastAsia="Times New Roman" w:cs="Times New Roman"/>
          <w:i/>
          <w:iCs/>
          <w:noProof/>
        </w:rPr>
        <w:t>23</w:t>
      </w:r>
      <w:r w:rsidRPr="00DF4509">
        <w:rPr>
          <w:rFonts w:eastAsia="Times New Roman" w:cs="Times New Roman"/>
          <w:noProof/>
        </w:rPr>
        <w:t>(3), 1–27. https://doi.org/10.1145/2928269</w:t>
      </w:r>
    </w:p>
    <w:p w14:paraId="628DE7DE"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Hanrahan, B. V, &amp; Pérez-Qu, M. A. (2015). Lost in Email: Pulling Users Down a Path of Interaction. In </w:t>
      </w:r>
      <w:r w:rsidRPr="00DF4509">
        <w:rPr>
          <w:rFonts w:eastAsia="Times New Roman" w:cs="Times New Roman"/>
          <w:i/>
          <w:iCs/>
          <w:noProof/>
        </w:rPr>
        <w:t>CHI’15</w:t>
      </w:r>
      <w:r w:rsidRPr="00DF4509">
        <w:rPr>
          <w:rFonts w:eastAsia="Times New Roman" w:cs="Times New Roman"/>
          <w:noProof/>
        </w:rPr>
        <w:t xml:space="preserve"> (pp. 3981–3984). https://doi.org/10.1145/2702123.2702351</w:t>
      </w:r>
    </w:p>
    <w:p w14:paraId="790522F6"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Jin, J., &amp; Dabbish, L. A. (2009). Self-Interruption on the Computer : A Typology of Discretionary Task Interleaving. In </w:t>
      </w:r>
      <w:r w:rsidRPr="00DF4509">
        <w:rPr>
          <w:rFonts w:eastAsia="Times New Roman" w:cs="Times New Roman"/>
          <w:i/>
          <w:iCs/>
          <w:noProof/>
        </w:rPr>
        <w:t>CHI 2009</w:t>
      </w:r>
      <w:r w:rsidRPr="00DF4509">
        <w:rPr>
          <w:rFonts w:eastAsia="Times New Roman" w:cs="Times New Roman"/>
          <w:noProof/>
        </w:rPr>
        <w:t xml:space="preserve"> (pp. 1799–1808).</w:t>
      </w:r>
    </w:p>
    <w:p w14:paraId="551B261C"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Katidioti, I., &amp; Taatgen, N. A. (2013). Choice in Multitasking: How Delays in the Primary Task Turn a Rational Into an Irrational Multitasker. </w:t>
      </w:r>
      <w:r w:rsidRPr="00DF4509">
        <w:rPr>
          <w:rFonts w:eastAsia="Times New Roman" w:cs="Times New Roman"/>
          <w:i/>
          <w:iCs/>
          <w:noProof/>
        </w:rPr>
        <w:t>Human Factors: The Journal of the Human Factors and Ergonomics Society</w:t>
      </w:r>
      <w:r w:rsidRPr="00DF4509">
        <w:rPr>
          <w:rFonts w:eastAsia="Times New Roman" w:cs="Times New Roman"/>
          <w:noProof/>
        </w:rPr>
        <w:t xml:space="preserve">, </w:t>
      </w:r>
      <w:r w:rsidRPr="00DF4509">
        <w:rPr>
          <w:rFonts w:eastAsia="Times New Roman" w:cs="Times New Roman"/>
          <w:i/>
          <w:iCs/>
          <w:noProof/>
        </w:rPr>
        <w:t>56</w:t>
      </w:r>
      <w:r w:rsidRPr="00DF4509">
        <w:rPr>
          <w:rFonts w:eastAsia="Times New Roman" w:cs="Times New Roman"/>
          <w:noProof/>
        </w:rPr>
        <w:t>(4), 728–736. https://doi.org/10.1177/0018720813504216</w:t>
      </w:r>
    </w:p>
    <w:p w14:paraId="0D91EBFF"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Kim, J., Cho, K. C., &amp; Lee, K. U. (2017). Technology Supported Behavior Restriction for Mitigating Self-Interruptions in Multi-device Environments. </w:t>
      </w:r>
      <w:r w:rsidRPr="00DF4509">
        <w:rPr>
          <w:rFonts w:eastAsia="Times New Roman" w:cs="Times New Roman"/>
          <w:i/>
          <w:iCs/>
          <w:noProof/>
        </w:rPr>
        <w:t>Proc. ACM Interact. Mob. Wearable Ubiquitous Technol</w:t>
      </w:r>
      <w:r w:rsidRPr="00DF4509">
        <w:rPr>
          <w:rFonts w:eastAsia="Times New Roman" w:cs="Times New Roman"/>
          <w:noProof/>
        </w:rPr>
        <w:t xml:space="preserve">, </w:t>
      </w:r>
      <w:r w:rsidRPr="00DF4509">
        <w:rPr>
          <w:rFonts w:eastAsia="Times New Roman" w:cs="Times New Roman"/>
          <w:i/>
          <w:iCs/>
          <w:noProof/>
        </w:rPr>
        <w:t>1</w:t>
      </w:r>
      <w:r w:rsidRPr="00DF4509">
        <w:rPr>
          <w:rFonts w:eastAsia="Times New Roman" w:cs="Times New Roman"/>
          <w:noProof/>
        </w:rPr>
        <w:t>(21). https://doi.org/10.1145/3130932</w:t>
      </w:r>
    </w:p>
    <w:p w14:paraId="321757BA"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ManicTime. (2018). Retrieved January 9, 2018, from https://www.manictime.com</w:t>
      </w:r>
    </w:p>
    <w:p w14:paraId="448D35FD"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Mark, G., Iqbal, S. T., Czerwinski, M., Johns, P., &amp; Sano, A. (2016). Email duration, batching and self-interruption: Patterns of email use on productivity and stress. In </w:t>
      </w:r>
      <w:r w:rsidRPr="00DF4509">
        <w:rPr>
          <w:rFonts w:eastAsia="Times New Roman" w:cs="Times New Roman"/>
          <w:i/>
          <w:iCs/>
          <w:noProof/>
        </w:rPr>
        <w:t>CHI 2016</w:t>
      </w:r>
      <w:r w:rsidRPr="00DF4509">
        <w:rPr>
          <w:rFonts w:eastAsia="Times New Roman" w:cs="Times New Roman"/>
          <w:noProof/>
        </w:rPr>
        <w:t>.</w:t>
      </w:r>
    </w:p>
    <w:p w14:paraId="785D0652"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Monk, C. A., Trafton, J. G., &amp; Boehm-Davis, D. A. (2008). The effect of interruption duration and demand on resuming suspended goals. </w:t>
      </w:r>
      <w:r w:rsidRPr="00DF4509">
        <w:rPr>
          <w:rFonts w:eastAsia="Times New Roman" w:cs="Times New Roman"/>
          <w:i/>
          <w:iCs/>
          <w:noProof/>
        </w:rPr>
        <w:t>Journal of Experimental Psychology: Applied</w:t>
      </w:r>
      <w:r w:rsidRPr="00DF4509">
        <w:rPr>
          <w:rFonts w:eastAsia="Times New Roman" w:cs="Times New Roman"/>
          <w:noProof/>
        </w:rPr>
        <w:t xml:space="preserve">, </w:t>
      </w:r>
      <w:r w:rsidRPr="00DF4509">
        <w:rPr>
          <w:rFonts w:eastAsia="Times New Roman" w:cs="Times New Roman"/>
          <w:i/>
          <w:iCs/>
          <w:noProof/>
        </w:rPr>
        <w:t>14</w:t>
      </w:r>
      <w:r w:rsidRPr="00DF4509">
        <w:rPr>
          <w:rFonts w:eastAsia="Times New Roman" w:cs="Times New Roman"/>
          <w:noProof/>
        </w:rPr>
        <w:t>(4), 299–313. https://doi.org/10.1037/a0014402</w:t>
      </w:r>
    </w:p>
    <w:p w14:paraId="23C868B5"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RescueTime. (2018). Retrieved January 9, 2018, from https://www.rescuetime.com</w:t>
      </w:r>
    </w:p>
    <w:p w14:paraId="5A65B767"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Rzeszotarski, J. M., Chi, E., Paritosh, P., &amp; Dai, P. (2013). </w:t>
      </w:r>
      <w:r w:rsidRPr="00DF4509">
        <w:rPr>
          <w:rFonts w:eastAsia="Times New Roman" w:cs="Times New Roman"/>
          <w:i/>
          <w:iCs/>
          <w:noProof/>
        </w:rPr>
        <w:t>Inserting Micro-Breaks into Crowdsourcing Workflows</w:t>
      </w:r>
      <w:r w:rsidRPr="00DF4509">
        <w:rPr>
          <w:rFonts w:eastAsia="Times New Roman" w:cs="Times New Roman"/>
          <w:noProof/>
        </w:rPr>
        <w:t xml:space="preserve">. </w:t>
      </w:r>
      <w:r w:rsidRPr="00DF4509">
        <w:rPr>
          <w:rFonts w:eastAsia="Times New Roman" w:cs="Times New Roman"/>
          <w:i/>
          <w:iCs/>
          <w:noProof/>
        </w:rPr>
        <w:t>AAAI Publications, First AAAI Conference on Human Computation and Crowdsourcing</w:t>
      </w:r>
      <w:r w:rsidRPr="00DF4509">
        <w:rPr>
          <w:rFonts w:eastAsia="Times New Roman" w:cs="Times New Roman"/>
          <w:noProof/>
        </w:rPr>
        <w:t>.</w:t>
      </w:r>
    </w:p>
    <w:p w14:paraId="0B39C77C" w14:textId="77777777" w:rsidR="00DF4509" w:rsidRPr="00DF4509" w:rsidRDefault="00DF4509" w:rsidP="00DF4509">
      <w:pPr>
        <w:widowControl w:val="0"/>
        <w:autoSpaceDE w:val="0"/>
        <w:autoSpaceDN w:val="0"/>
        <w:adjustRightInd w:val="0"/>
        <w:ind w:left="480" w:hanging="480"/>
        <w:rPr>
          <w:rFonts w:eastAsia="Times New Roman" w:cs="Times New Roman"/>
          <w:noProof/>
        </w:rPr>
      </w:pPr>
      <w:r w:rsidRPr="00DF4509">
        <w:rPr>
          <w:rFonts w:eastAsia="Times New Roman" w:cs="Times New Roman"/>
          <w:noProof/>
        </w:rPr>
        <w:t xml:space="preserve">Salvucci, D. D., &amp; Bogunovich, P. (2010). Multitasking and Monotasking: The Effects of Mental Workload on Deferred Task Interruptions. In </w:t>
      </w:r>
      <w:r w:rsidRPr="00DF4509">
        <w:rPr>
          <w:rFonts w:eastAsia="Times New Roman" w:cs="Times New Roman"/>
          <w:i/>
          <w:iCs/>
          <w:noProof/>
        </w:rPr>
        <w:t>CHI 2010</w:t>
      </w:r>
      <w:r w:rsidRPr="00DF4509">
        <w:rPr>
          <w:rFonts w:eastAsia="Times New Roman" w:cs="Times New Roman"/>
          <w:noProof/>
        </w:rPr>
        <w:t>. Atlanta, GA, USA. Retrieved from http://citeseerx.ist.psu.edu/viewdoc/download?doi=10.1.1.157.7522&amp;rep=rep1&amp;type=pdf</w:t>
      </w:r>
    </w:p>
    <w:p w14:paraId="42A68416" w14:textId="77777777" w:rsidR="00DF4509" w:rsidRPr="00DF4509" w:rsidRDefault="00DF4509" w:rsidP="00DF4509">
      <w:pPr>
        <w:widowControl w:val="0"/>
        <w:autoSpaceDE w:val="0"/>
        <w:autoSpaceDN w:val="0"/>
        <w:adjustRightInd w:val="0"/>
        <w:ind w:left="480" w:hanging="480"/>
        <w:rPr>
          <w:noProof/>
        </w:rPr>
      </w:pPr>
      <w:r w:rsidRPr="00DF4509">
        <w:rPr>
          <w:rFonts w:eastAsia="Times New Roman" w:cs="Times New Roman"/>
          <w:noProof/>
        </w:rPr>
        <w:t xml:space="preserve">Whittaker, S., Hollis, V., &amp; Guydish, A. (2016). “Don”t Waste My Time ’: Use of Time Information Improves Focus. In </w:t>
      </w:r>
      <w:r w:rsidRPr="00DF4509">
        <w:rPr>
          <w:rFonts w:eastAsia="Times New Roman" w:cs="Times New Roman"/>
          <w:i/>
          <w:iCs/>
          <w:noProof/>
        </w:rPr>
        <w:t>Proceedings of the SIGCHI Conference on Human Factors in Computing Systems (CHI 16)</w:t>
      </w:r>
      <w:r w:rsidRPr="00DF4509">
        <w:rPr>
          <w:rFonts w:eastAsia="Times New Roman" w:cs="Times New Roman"/>
          <w:noProof/>
        </w:rPr>
        <w:t xml:space="preserve"> (pp. 1729–1738). San Jose, CA, USA.</w:t>
      </w:r>
    </w:p>
    <w:p w14:paraId="4036195C" w14:textId="18F65A1C" w:rsidR="0084789A" w:rsidRPr="00AB5EE9" w:rsidRDefault="00EA55BE" w:rsidP="00DF4509">
      <w:pPr>
        <w:widowControl w:val="0"/>
        <w:autoSpaceDE w:val="0"/>
        <w:autoSpaceDN w:val="0"/>
        <w:adjustRightInd w:val="0"/>
        <w:ind w:left="480" w:hanging="480"/>
        <w:rPr>
          <w:szCs w:val="22"/>
        </w:rPr>
      </w:pPr>
      <w:r>
        <w:rPr>
          <w:szCs w:val="22"/>
        </w:rPr>
        <w:fldChar w:fldCharType="end"/>
      </w:r>
    </w:p>
    <w:sectPr w:rsidR="0084789A" w:rsidRPr="00AB5EE9" w:rsidSect="000B3C4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w:panose1 w:val="00000000000000000000"/>
    <w:charset w:val="00"/>
    <w:family w:val="roman"/>
    <w:pitch w:val="variable"/>
    <w:sig w:usb0="A00002FF" w:usb1="7800205A" w:usb2="14600000" w:usb3="00000000" w:csb0="00000193"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113C6"/>
    <w:multiLevelType w:val="hybridMultilevel"/>
    <w:tmpl w:val="9ECC7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164944"/>
    <w:multiLevelType w:val="hybridMultilevel"/>
    <w:tmpl w:val="E28C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214B89"/>
    <w:multiLevelType w:val="hybridMultilevel"/>
    <w:tmpl w:val="3D2E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603362"/>
    <w:multiLevelType w:val="hybridMultilevel"/>
    <w:tmpl w:val="0C40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9D4C3B"/>
    <w:multiLevelType w:val="hybridMultilevel"/>
    <w:tmpl w:val="7A8A7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79F"/>
    <w:rsid w:val="0000062F"/>
    <w:rsid w:val="00001D2A"/>
    <w:rsid w:val="000046B4"/>
    <w:rsid w:val="00004EBD"/>
    <w:rsid w:val="0000597E"/>
    <w:rsid w:val="00010CA4"/>
    <w:rsid w:val="0001307B"/>
    <w:rsid w:val="00033E27"/>
    <w:rsid w:val="00042193"/>
    <w:rsid w:val="00045A3C"/>
    <w:rsid w:val="000529E2"/>
    <w:rsid w:val="00052D8E"/>
    <w:rsid w:val="000539A5"/>
    <w:rsid w:val="00056992"/>
    <w:rsid w:val="000618B1"/>
    <w:rsid w:val="00065D61"/>
    <w:rsid w:val="00066EE8"/>
    <w:rsid w:val="0007287A"/>
    <w:rsid w:val="0007712B"/>
    <w:rsid w:val="00077D6C"/>
    <w:rsid w:val="000818A2"/>
    <w:rsid w:val="00081A56"/>
    <w:rsid w:val="00084169"/>
    <w:rsid w:val="00085DF2"/>
    <w:rsid w:val="000864D0"/>
    <w:rsid w:val="0009136B"/>
    <w:rsid w:val="000A66E2"/>
    <w:rsid w:val="000B075C"/>
    <w:rsid w:val="000B2D01"/>
    <w:rsid w:val="000B3C4F"/>
    <w:rsid w:val="000B6E2B"/>
    <w:rsid w:val="000B7C76"/>
    <w:rsid w:val="000C14E6"/>
    <w:rsid w:val="000C3319"/>
    <w:rsid w:val="000C427B"/>
    <w:rsid w:val="000C4EDE"/>
    <w:rsid w:val="000C6152"/>
    <w:rsid w:val="000D001F"/>
    <w:rsid w:val="000D0EC1"/>
    <w:rsid w:val="000D0F31"/>
    <w:rsid w:val="000E181D"/>
    <w:rsid w:val="000E21B1"/>
    <w:rsid w:val="000E525B"/>
    <w:rsid w:val="000E70A1"/>
    <w:rsid w:val="000F130F"/>
    <w:rsid w:val="000F56DA"/>
    <w:rsid w:val="000F7410"/>
    <w:rsid w:val="001045F1"/>
    <w:rsid w:val="001052B7"/>
    <w:rsid w:val="00106515"/>
    <w:rsid w:val="00106DEB"/>
    <w:rsid w:val="00110EB3"/>
    <w:rsid w:val="00111680"/>
    <w:rsid w:val="0011224F"/>
    <w:rsid w:val="00113E39"/>
    <w:rsid w:val="00114B0A"/>
    <w:rsid w:val="00117591"/>
    <w:rsid w:val="001209D8"/>
    <w:rsid w:val="0012126E"/>
    <w:rsid w:val="00122550"/>
    <w:rsid w:val="00123CCB"/>
    <w:rsid w:val="00131C36"/>
    <w:rsid w:val="00133C4D"/>
    <w:rsid w:val="00134525"/>
    <w:rsid w:val="001361AF"/>
    <w:rsid w:val="0014407F"/>
    <w:rsid w:val="00147F02"/>
    <w:rsid w:val="00157BC4"/>
    <w:rsid w:val="00161C32"/>
    <w:rsid w:val="00171181"/>
    <w:rsid w:val="001729CA"/>
    <w:rsid w:val="00175EB5"/>
    <w:rsid w:val="0018118A"/>
    <w:rsid w:val="00186359"/>
    <w:rsid w:val="0019618F"/>
    <w:rsid w:val="001A085A"/>
    <w:rsid w:val="001A64E8"/>
    <w:rsid w:val="001A7B3B"/>
    <w:rsid w:val="001A7EDB"/>
    <w:rsid w:val="001B0F04"/>
    <w:rsid w:val="001B1897"/>
    <w:rsid w:val="001B2FD4"/>
    <w:rsid w:val="001B30B8"/>
    <w:rsid w:val="001B43C4"/>
    <w:rsid w:val="001B43F8"/>
    <w:rsid w:val="001B5CE2"/>
    <w:rsid w:val="001B60B7"/>
    <w:rsid w:val="001B71E9"/>
    <w:rsid w:val="001C3430"/>
    <w:rsid w:val="001C795B"/>
    <w:rsid w:val="001D37A0"/>
    <w:rsid w:val="001D3B3E"/>
    <w:rsid w:val="001D6646"/>
    <w:rsid w:val="001D6B20"/>
    <w:rsid w:val="001D7155"/>
    <w:rsid w:val="001E443F"/>
    <w:rsid w:val="001F09EC"/>
    <w:rsid w:val="001F66EE"/>
    <w:rsid w:val="001F7736"/>
    <w:rsid w:val="00200808"/>
    <w:rsid w:val="00201047"/>
    <w:rsid w:val="0020233A"/>
    <w:rsid w:val="00205DC9"/>
    <w:rsid w:val="00214922"/>
    <w:rsid w:val="00214F32"/>
    <w:rsid w:val="0021615C"/>
    <w:rsid w:val="00221CC2"/>
    <w:rsid w:val="00223E47"/>
    <w:rsid w:val="00224077"/>
    <w:rsid w:val="00236936"/>
    <w:rsid w:val="00240317"/>
    <w:rsid w:val="00243E2C"/>
    <w:rsid w:val="002445B9"/>
    <w:rsid w:val="00246CD8"/>
    <w:rsid w:val="0025278B"/>
    <w:rsid w:val="00252E40"/>
    <w:rsid w:val="002551EF"/>
    <w:rsid w:val="00255599"/>
    <w:rsid w:val="002600EE"/>
    <w:rsid w:val="0026285E"/>
    <w:rsid w:val="00272DFE"/>
    <w:rsid w:val="00276C8C"/>
    <w:rsid w:val="002815A3"/>
    <w:rsid w:val="002B365E"/>
    <w:rsid w:val="002B5149"/>
    <w:rsid w:val="002B5329"/>
    <w:rsid w:val="002B54FD"/>
    <w:rsid w:val="002B579D"/>
    <w:rsid w:val="002B58C1"/>
    <w:rsid w:val="002B60DB"/>
    <w:rsid w:val="002B69FB"/>
    <w:rsid w:val="002B7397"/>
    <w:rsid w:val="002C1E68"/>
    <w:rsid w:val="002C584B"/>
    <w:rsid w:val="002E3639"/>
    <w:rsid w:val="002E4C5E"/>
    <w:rsid w:val="002E72BC"/>
    <w:rsid w:val="002E7AE5"/>
    <w:rsid w:val="002F048A"/>
    <w:rsid w:val="002F06A3"/>
    <w:rsid w:val="002F4A67"/>
    <w:rsid w:val="0030437F"/>
    <w:rsid w:val="00311F4E"/>
    <w:rsid w:val="00313878"/>
    <w:rsid w:val="00313AE9"/>
    <w:rsid w:val="00321FB0"/>
    <w:rsid w:val="00322B92"/>
    <w:rsid w:val="0032649E"/>
    <w:rsid w:val="00331970"/>
    <w:rsid w:val="00333511"/>
    <w:rsid w:val="00334E23"/>
    <w:rsid w:val="0033605A"/>
    <w:rsid w:val="00337AFB"/>
    <w:rsid w:val="00340A6A"/>
    <w:rsid w:val="0034438B"/>
    <w:rsid w:val="003511F5"/>
    <w:rsid w:val="00352BB4"/>
    <w:rsid w:val="00353AF8"/>
    <w:rsid w:val="00353C0A"/>
    <w:rsid w:val="00354767"/>
    <w:rsid w:val="00355355"/>
    <w:rsid w:val="00360859"/>
    <w:rsid w:val="0036118D"/>
    <w:rsid w:val="003648EF"/>
    <w:rsid w:val="003713A3"/>
    <w:rsid w:val="00374CD4"/>
    <w:rsid w:val="003769C2"/>
    <w:rsid w:val="00386F3B"/>
    <w:rsid w:val="0038793A"/>
    <w:rsid w:val="003905F3"/>
    <w:rsid w:val="00390742"/>
    <w:rsid w:val="003911D2"/>
    <w:rsid w:val="00392ACA"/>
    <w:rsid w:val="003A0524"/>
    <w:rsid w:val="003A1E5C"/>
    <w:rsid w:val="003A46B3"/>
    <w:rsid w:val="003B468D"/>
    <w:rsid w:val="003C01D1"/>
    <w:rsid w:val="003C2A47"/>
    <w:rsid w:val="003C41CF"/>
    <w:rsid w:val="003C5B65"/>
    <w:rsid w:val="003C6FCB"/>
    <w:rsid w:val="003D21E1"/>
    <w:rsid w:val="003D5F54"/>
    <w:rsid w:val="003E1874"/>
    <w:rsid w:val="003E3FC4"/>
    <w:rsid w:val="003E53FC"/>
    <w:rsid w:val="003F1FD3"/>
    <w:rsid w:val="003F5782"/>
    <w:rsid w:val="003F5E5E"/>
    <w:rsid w:val="003F5FAD"/>
    <w:rsid w:val="003F7A25"/>
    <w:rsid w:val="00407F2B"/>
    <w:rsid w:val="00411885"/>
    <w:rsid w:val="004132F4"/>
    <w:rsid w:val="004216F1"/>
    <w:rsid w:val="004306A9"/>
    <w:rsid w:val="00433E20"/>
    <w:rsid w:val="0043496F"/>
    <w:rsid w:val="00434CB0"/>
    <w:rsid w:val="00435CEF"/>
    <w:rsid w:val="0044220C"/>
    <w:rsid w:val="00450C67"/>
    <w:rsid w:val="004537F7"/>
    <w:rsid w:val="004548EB"/>
    <w:rsid w:val="004572F4"/>
    <w:rsid w:val="00462A19"/>
    <w:rsid w:val="00464955"/>
    <w:rsid w:val="004660C8"/>
    <w:rsid w:val="00476D57"/>
    <w:rsid w:val="00482ABC"/>
    <w:rsid w:val="00484A98"/>
    <w:rsid w:val="00484C48"/>
    <w:rsid w:val="00495F20"/>
    <w:rsid w:val="00497E07"/>
    <w:rsid w:val="004A28EA"/>
    <w:rsid w:val="004C0DA6"/>
    <w:rsid w:val="004C1831"/>
    <w:rsid w:val="004C26AE"/>
    <w:rsid w:val="004C78BA"/>
    <w:rsid w:val="004D0041"/>
    <w:rsid w:val="004D04E7"/>
    <w:rsid w:val="004D303D"/>
    <w:rsid w:val="004D3DFD"/>
    <w:rsid w:val="004D5B68"/>
    <w:rsid w:val="004D6CC9"/>
    <w:rsid w:val="004E1195"/>
    <w:rsid w:val="004E58C3"/>
    <w:rsid w:val="004F6693"/>
    <w:rsid w:val="005005C9"/>
    <w:rsid w:val="00513699"/>
    <w:rsid w:val="00522E6F"/>
    <w:rsid w:val="005254BC"/>
    <w:rsid w:val="00527A9D"/>
    <w:rsid w:val="005301C5"/>
    <w:rsid w:val="005303D7"/>
    <w:rsid w:val="0053441E"/>
    <w:rsid w:val="0054236E"/>
    <w:rsid w:val="005428EC"/>
    <w:rsid w:val="00543CE1"/>
    <w:rsid w:val="00544896"/>
    <w:rsid w:val="00550BA2"/>
    <w:rsid w:val="00552DDD"/>
    <w:rsid w:val="00562E77"/>
    <w:rsid w:val="00563FE2"/>
    <w:rsid w:val="00564E98"/>
    <w:rsid w:val="00566489"/>
    <w:rsid w:val="005724D1"/>
    <w:rsid w:val="00573B4C"/>
    <w:rsid w:val="00574DF8"/>
    <w:rsid w:val="00584AE2"/>
    <w:rsid w:val="00585633"/>
    <w:rsid w:val="005918EA"/>
    <w:rsid w:val="0059226D"/>
    <w:rsid w:val="00592B24"/>
    <w:rsid w:val="00595CBE"/>
    <w:rsid w:val="005A071D"/>
    <w:rsid w:val="005A0842"/>
    <w:rsid w:val="005A0D14"/>
    <w:rsid w:val="005A379F"/>
    <w:rsid w:val="005A492C"/>
    <w:rsid w:val="005A71A9"/>
    <w:rsid w:val="005B4E4F"/>
    <w:rsid w:val="005B5883"/>
    <w:rsid w:val="005B681D"/>
    <w:rsid w:val="005D1E02"/>
    <w:rsid w:val="005D4567"/>
    <w:rsid w:val="005D4FAF"/>
    <w:rsid w:val="005D6BD9"/>
    <w:rsid w:val="005D751E"/>
    <w:rsid w:val="005F1971"/>
    <w:rsid w:val="005F2BE9"/>
    <w:rsid w:val="006078F7"/>
    <w:rsid w:val="0061216F"/>
    <w:rsid w:val="00612226"/>
    <w:rsid w:val="0061254A"/>
    <w:rsid w:val="00613537"/>
    <w:rsid w:val="00616FB9"/>
    <w:rsid w:val="00621DF4"/>
    <w:rsid w:val="00622530"/>
    <w:rsid w:val="00623DA7"/>
    <w:rsid w:val="006343EF"/>
    <w:rsid w:val="00635E77"/>
    <w:rsid w:val="00636B88"/>
    <w:rsid w:val="00641F3F"/>
    <w:rsid w:val="00644293"/>
    <w:rsid w:val="00645260"/>
    <w:rsid w:val="00647463"/>
    <w:rsid w:val="00647ABE"/>
    <w:rsid w:val="00647B42"/>
    <w:rsid w:val="00650512"/>
    <w:rsid w:val="00654CAC"/>
    <w:rsid w:val="00654D3E"/>
    <w:rsid w:val="00662CBA"/>
    <w:rsid w:val="00664050"/>
    <w:rsid w:val="0066447D"/>
    <w:rsid w:val="00664A30"/>
    <w:rsid w:val="00665777"/>
    <w:rsid w:val="006677EC"/>
    <w:rsid w:val="00670750"/>
    <w:rsid w:val="006735D0"/>
    <w:rsid w:val="00673610"/>
    <w:rsid w:val="006741E0"/>
    <w:rsid w:val="00674E25"/>
    <w:rsid w:val="00675F50"/>
    <w:rsid w:val="00676CFA"/>
    <w:rsid w:val="00683862"/>
    <w:rsid w:val="00685ECF"/>
    <w:rsid w:val="006860CA"/>
    <w:rsid w:val="00692041"/>
    <w:rsid w:val="006972F1"/>
    <w:rsid w:val="006A1E65"/>
    <w:rsid w:val="006A2961"/>
    <w:rsid w:val="006A5C75"/>
    <w:rsid w:val="006A69CE"/>
    <w:rsid w:val="006B5DC3"/>
    <w:rsid w:val="006B6E53"/>
    <w:rsid w:val="006B722B"/>
    <w:rsid w:val="006C41C2"/>
    <w:rsid w:val="006D39A4"/>
    <w:rsid w:val="006E0A9F"/>
    <w:rsid w:val="006E157B"/>
    <w:rsid w:val="006E4365"/>
    <w:rsid w:val="006F2014"/>
    <w:rsid w:val="006F26DD"/>
    <w:rsid w:val="006F27A4"/>
    <w:rsid w:val="006F55BB"/>
    <w:rsid w:val="00700C75"/>
    <w:rsid w:val="00701FDD"/>
    <w:rsid w:val="00705132"/>
    <w:rsid w:val="00705938"/>
    <w:rsid w:val="00705AA0"/>
    <w:rsid w:val="007131AB"/>
    <w:rsid w:val="007132D2"/>
    <w:rsid w:val="00713DE6"/>
    <w:rsid w:val="00721508"/>
    <w:rsid w:val="007219AF"/>
    <w:rsid w:val="0072303D"/>
    <w:rsid w:val="00725D06"/>
    <w:rsid w:val="00742976"/>
    <w:rsid w:val="00751255"/>
    <w:rsid w:val="00752452"/>
    <w:rsid w:val="0075278C"/>
    <w:rsid w:val="007562FF"/>
    <w:rsid w:val="007578EA"/>
    <w:rsid w:val="007644C2"/>
    <w:rsid w:val="007704EA"/>
    <w:rsid w:val="00770827"/>
    <w:rsid w:val="007759B1"/>
    <w:rsid w:val="00780351"/>
    <w:rsid w:val="0078412B"/>
    <w:rsid w:val="00790F45"/>
    <w:rsid w:val="00797CFE"/>
    <w:rsid w:val="00797D28"/>
    <w:rsid w:val="007A08E8"/>
    <w:rsid w:val="007A29F9"/>
    <w:rsid w:val="007A41E9"/>
    <w:rsid w:val="007A58DC"/>
    <w:rsid w:val="007A59AA"/>
    <w:rsid w:val="007A6279"/>
    <w:rsid w:val="007B05C6"/>
    <w:rsid w:val="007B0B37"/>
    <w:rsid w:val="007B2C50"/>
    <w:rsid w:val="007C08EA"/>
    <w:rsid w:val="007C56B3"/>
    <w:rsid w:val="007C6376"/>
    <w:rsid w:val="007D044A"/>
    <w:rsid w:val="007D0B57"/>
    <w:rsid w:val="007D26EA"/>
    <w:rsid w:val="007D57BE"/>
    <w:rsid w:val="007E1903"/>
    <w:rsid w:val="007E5943"/>
    <w:rsid w:val="007E5EC8"/>
    <w:rsid w:val="007E7456"/>
    <w:rsid w:val="007F078E"/>
    <w:rsid w:val="007F14A2"/>
    <w:rsid w:val="007F19D0"/>
    <w:rsid w:val="007F7882"/>
    <w:rsid w:val="008005F1"/>
    <w:rsid w:val="00800FF0"/>
    <w:rsid w:val="00801BA6"/>
    <w:rsid w:val="008039F6"/>
    <w:rsid w:val="00804977"/>
    <w:rsid w:val="008051DC"/>
    <w:rsid w:val="00806309"/>
    <w:rsid w:val="008072D1"/>
    <w:rsid w:val="00812CB2"/>
    <w:rsid w:val="0081379B"/>
    <w:rsid w:val="0081527D"/>
    <w:rsid w:val="0081642A"/>
    <w:rsid w:val="008239DE"/>
    <w:rsid w:val="00824F8D"/>
    <w:rsid w:val="008252FD"/>
    <w:rsid w:val="00825B14"/>
    <w:rsid w:val="00830C50"/>
    <w:rsid w:val="00833A03"/>
    <w:rsid w:val="00843356"/>
    <w:rsid w:val="00843A56"/>
    <w:rsid w:val="00846959"/>
    <w:rsid w:val="0084789A"/>
    <w:rsid w:val="00857D6E"/>
    <w:rsid w:val="008614C3"/>
    <w:rsid w:val="00865C8B"/>
    <w:rsid w:val="008734E6"/>
    <w:rsid w:val="0087520B"/>
    <w:rsid w:val="00877DEB"/>
    <w:rsid w:val="008816F3"/>
    <w:rsid w:val="00881E78"/>
    <w:rsid w:val="00882891"/>
    <w:rsid w:val="00883555"/>
    <w:rsid w:val="00883627"/>
    <w:rsid w:val="008925D3"/>
    <w:rsid w:val="00897022"/>
    <w:rsid w:val="008978EB"/>
    <w:rsid w:val="00897B40"/>
    <w:rsid w:val="008A0857"/>
    <w:rsid w:val="008A1EC2"/>
    <w:rsid w:val="008A32D4"/>
    <w:rsid w:val="008A3E49"/>
    <w:rsid w:val="008A483A"/>
    <w:rsid w:val="008A5777"/>
    <w:rsid w:val="008B1B88"/>
    <w:rsid w:val="008B2145"/>
    <w:rsid w:val="008B2CBA"/>
    <w:rsid w:val="008B4C95"/>
    <w:rsid w:val="008B4D1A"/>
    <w:rsid w:val="008B682B"/>
    <w:rsid w:val="008B6EAD"/>
    <w:rsid w:val="008C3620"/>
    <w:rsid w:val="008C4ED7"/>
    <w:rsid w:val="008C657F"/>
    <w:rsid w:val="008C7266"/>
    <w:rsid w:val="008D16DA"/>
    <w:rsid w:val="008D424A"/>
    <w:rsid w:val="008E1C45"/>
    <w:rsid w:val="008E1FC4"/>
    <w:rsid w:val="008E2C6B"/>
    <w:rsid w:val="008F01FD"/>
    <w:rsid w:val="008F0DC1"/>
    <w:rsid w:val="008F342F"/>
    <w:rsid w:val="008F7873"/>
    <w:rsid w:val="00900DF6"/>
    <w:rsid w:val="009019F2"/>
    <w:rsid w:val="009048EA"/>
    <w:rsid w:val="00907B5D"/>
    <w:rsid w:val="00907F44"/>
    <w:rsid w:val="00910826"/>
    <w:rsid w:val="009111A5"/>
    <w:rsid w:val="00912AAA"/>
    <w:rsid w:val="009216CA"/>
    <w:rsid w:val="00921A24"/>
    <w:rsid w:val="0092363E"/>
    <w:rsid w:val="00923A8A"/>
    <w:rsid w:val="00924A7B"/>
    <w:rsid w:val="00924C18"/>
    <w:rsid w:val="00931413"/>
    <w:rsid w:val="0093228A"/>
    <w:rsid w:val="00932BC1"/>
    <w:rsid w:val="00934C1D"/>
    <w:rsid w:val="00935243"/>
    <w:rsid w:val="00940CA3"/>
    <w:rsid w:val="00941A0A"/>
    <w:rsid w:val="00942911"/>
    <w:rsid w:val="00946460"/>
    <w:rsid w:val="00947F59"/>
    <w:rsid w:val="00954D68"/>
    <w:rsid w:val="00960411"/>
    <w:rsid w:val="0096700E"/>
    <w:rsid w:val="00973CD2"/>
    <w:rsid w:val="00976D44"/>
    <w:rsid w:val="00983E4A"/>
    <w:rsid w:val="0099429B"/>
    <w:rsid w:val="00994A2A"/>
    <w:rsid w:val="009977BD"/>
    <w:rsid w:val="009A3078"/>
    <w:rsid w:val="009A36C1"/>
    <w:rsid w:val="009A434F"/>
    <w:rsid w:val="009A74BB"/>
    <w:rsid w:val="009B1CDB"/>
    <w:rsid w:val="009B37FC"/>
    <w:rsid w:val="009B593D"/>
    <w:rsid w:val="009C21F7"/>
    <w:rsid w:val="009C292B"/>
    <w:rsid w:val="009C3609"/>
    <w:rsid w:val="009D0C14"/>
    <w:rsid w:val="009D2FEA"/>
    <w:rsid w:val="009D3041"/>
    <w:rsid w:val="009D462F"/>
    <w:rsid w:val="009D507E"/>
    <w:rsid w:val="009E2CDE"/>
    <w:rsid w:val="009E4FFC"/>
    <w:rsid w:val="009E549D"/>
    <w:rsid w:val="009E6710"/>
    <w:rsid w:val="009E7ACE"/>
    <w:rsid w:val="009F096B"/>
    <w:rsid w:val="009F6E57"/>
    <w:rsid w:val="00A05351"/>
    <w:rsid w:val="00A07ED0"/>
    <w:rsid w:val="00A11DA2"/>
    <w:rsid w:val="00A20906"/>
    <w:rsid w:val="00A20E34"/>
    <w:rsid w:val="00A25899"/>
    <w:rsid w:val="00A32BBE"/>
    <w:rsid w:val="00A3327A"/>
    <w:rsid w:val="00A40A2A"/>
    <w:rsid w:val="00A44F3D"/>
    <w:rsid w:val="00A50F35"/>
    <w:rsid w:val="00A52998"/>
    <w:rsid w:val="00A566F2"/>
    <w:rsid w:val="00A60956"/>
    <w:rsid w:val="00A626B5"/>
    <w:rsid w:val="00A62F34"/>
    <w:rsid w:val="00A722AE"/>
    <w:rsid w:val="00A72566"/>
    <w:rsid w:val="00A82DDA"/>
    <w:rsid w:val="00A85DD7"/>
    <w:rsid w:val="00A86B7A"/>
    <w:rsid w:val="00A870BC"/>
    <w:rsid w:val="00A93C03"/>
    <w:rsid w:val="00A95256"/>
    <w:rsid w:val="00A95328"/>
    <w:rsid w:val="00AA05D5"/>
    <w:rsid w:val="00AA41A6"/>
    <w:rsid w:val="00AA557A"/>
    <w:rsid w:val="00AA678A"/>
    <w:rsid w:val="00AA701C"/>
    <w:rsid w:val="00AB23F5"/>
    <w:rsid w:val="00AB24E6"/>
    <w:rsid w:val="00AB481F"/>
    <w:rsid w:val="00AB5318"/>
    <w:rsid w:val="00AB5EE9"/>
    <w:rsid w:val="00AC5393"/>
    <w:rsid w:val="00AC7B87"/>
    <w:rsid w:val="00AD009B"/>
    <w:rsid w:val="00AD3F1D"/>
    <w:rsid w:val="00AD7B00"/>
    <w:rsid w:val="00AE070E"/>
    <w:rsid w:val="00AE0C26"/>
    <w:rsid w:val="00AE3261"/>
    <w:rsid w:val="00AE64B4"/>
    <w:rsid w:val="00AE6D82"/>
    <w:rsid w:val="00AF3E7B"/>
    <w:rsid w:val="00B007DD"/>
    <w:rsid w:val="00B0491D"/>
    <w:rsid w:val="00B05692"/>
    <w:rsid w:val="00B06386"/>
    <w:rsid w:val="00B128CA"/>
    <w:rsid w:val="00B15014"/>
    <w:rsid w:val="00B22A3E"/>
    <w:rsid w:val="00B22A5E"/>
    <w:rsid w:val="00B24D2E"/>
    <w:rsid w:val="00B26DB3"/>
    <w:rsid w:val="00B31135"/>
    <w:rsid w:val="00B35050"/>
    <w:rsid w:val="00B402E9"/>
    <w:rsid w:val="00B4311A"/>
    <w:rsid w:val="00B46C96"/>
    <w:rsid w:val="00B47058"/>
    <w:rsid w:val="00B519BB"/>
    <w:rsid w:val="00B640EE"/>
    <w:rsid w:val="00B64634"/>
    <w:rsid w:val="00B766C2"/>
    <w:rsid w:val="00B76C18"/>
    <w:rsid w:val="00B80769"/>
    <w:rsid w:val="00B8289E"/>
    <w:rsid w:val="00B83786"/>
    <w:rsid w:val="00B873B8"/>
    <w:rsid w:val="00B913D5"/>
    <w:rsid w:val="00B914F1"/>
    <w:rsid w:val="00B91FD7"/>
    <w:rsid w:val="00BA1E23"/>
    <w:rsid w:val="00BA1E95"/>
    <w:rsid w:val="00BA4682"/>
    <w:rsid w:val="00BA5CC5"/>
    <w:rsid w:val="00BA7988"/>
    <w:rsid w:val="00BB02A3"/>
    <w:rsid w:val="00BB177C"/>
    <w:rsid w:val="00BB6F73"/>
    <w:rsid w:val="00BB7122"/>
    <w:rsid w:val="00BB72FD"/>
    <w:rsid w:val="00BC22D1"/>
    <w:rsid w:val="00BC4999"/>
    <w:rsid w:val="00BD0DC5"/>
    <w:rsid w:val="00BD4556"/>
    <w:rsid w:val="00BD459A"/>
    <w:rsid w:val="00BE679B"/>
    <w:rsid w:val="00BE723D"/>
    <w:rsid w:val="00BF5817"/>
    <w:rsid w:val="00BF5896"/>
    <w:rsid w:val="00C02FAD"/>
    <w:rsid w:val="00C076CE"/>
    <w:rsid w:val="00C16C5C"/>
    <w:rsid w:val="00C22465"/>
    <w:rsid w:val="00C22616"/>
    <w:rsid w:val="00C2569A"/>
    <w:rsid w:val="00C3033E"/>
    <w:rsid w:val="00C3124E"/>
    <w:rsid w:val="00C3426F"/>
    <w:rsid w:val="00C345B3"/>
    <w:rsid w:val="00C34763"/>
    <w:rsid w:val="00C35C93"/>
    <w:rsid w:val="00C360B3"/>
    <w:rsid w:val="00C36AF3"/>
    <w:rsid w:val="00C43182"/>
    <w:rsid w:val="00C44442"/>
    <w:rsid w:val="00C44FD3"/>
    <w:rsid w:val="00C467C9"/>
    <w:rsid w:val="00C53687"/>
    <w:rsid w:val="00C55C80"/>
    <w:rsid w:val="00C55CFC"/>
    <w:rsid w:val="00C61A2F"/>
    <w:rsid w:val="00C66C01"/>
    <w:rsid w:val="00C726C4"/>
    <w:rsid w:val="00C72CAF"/>
    <w:rsid w:val="00C8298C"/>
    <w:rsid w:val="00C844A8"/>
    <w:rsid w:val="00C907E7"/>
    <w:rsid w:val="00C948A2"/>
    <w:rsid w:val="00C95578"/>
    <w:rsid w:val="00C955C5"/>
    <w:rsid w:val="00C96B55"/>
    <w:rsid w:val="00C97234"/>
    <w:rsid w:val="00CA060F"/>
    <w:rsid w:val="00CA18E9"/>
    <w:rsid w:val="00CB0ACA"/>
    <w:rsid w:val="00CB2938"/>
    <w:rsid w:val="00CB2E43"/>
    <w:rsid w:val="00CB61A2"/>
    <w:rsid w:val="00CB6A51"/>
    <w:rsid w:val="00CC0A1F"/>
    <w:rsid w:val="00CC308C"/>
    <w:rsid w:val="00CC40ED"/>
    <w:rsid w:val="00CD0315"/>
    <w:rsid w:val="00CD0419"/>
    <w:rsid w:val="00CD27D5"/>
    <w:rsid w:val="00CD65DF"/>
    <w:rsid w:val="00CE1EE1"/>
    <w:rsid w:val="00CE716D"/>
    <w:rsid w:val="00D0213E"/>
    <w:rsid w:val="00D05CB0"/>
    <w:rsid w:val="00D06CE1"/>
    <w:rsid w:val="00D125AE"/>
    <w:rsid w:val="00D13A68"/>
    <w:rsid w:val="00D15522"/>
    <w:rsid w:val="00D175B9"/>
    <w:rsid w:val="00D2033B"/>
    <w:rsid w:val="00D23636"/>
    <w:rsid w:val="00D23FF1"/>
    <w:rsid w:val="00D24F07"/>
    <w:rsid w:val="00D25D81"/>
    <w:rsid w:val="00D30599"/>
    <w:rsid w:val="00D347B3"/>
    <w:rsid w:val="00D4088C"/>
    <w:rsid w:val="00D41E76"/>
    <w:rsid w:val="00D43D78"/>
    <w:rsid w:val="00D44A5C"/>
    <w:rsid w:val="00D52557"/>
    <w:rsid w:val="00D535BA"/>
    <w:rsid w:val="00D542B5"/>
    <w:rsid w:val="00D54575"/>
    <w:rsid w:val="00D65918"/>
    <w:rsid w:val="00D67E82"/>
    <w:rsid w:val="00D74774"/>
    <w:rsid w:val="00D75E9B"/>
    <w:rsid w:val="00D76050"/>
    <w:rsid w:val="00D76B63"/>
    <w:rsid w:val="00D7762F"/>
    <w:rsid w:val="00D817D6"/>
    <w:rsid w:val="00D852EE"/>
    <w:rsid w:val="00D90E64"/>
    <w:rsid w:val="00D91ABE"/>
    <w:rsid w:val="00D92A24"/>
    <w:rsid w:val="00D94456"/>
    <w:rsid w:val="00D9705E"/>
    <w:rsid w:val="00DA39B9"/>
    <w:rsid w:val="00DA53AC"/>
    <w:rsid w:val="00DB70C0"/>
    <w:rsid w:val="00DC32DE"/>
    <w:rsid w:val="00DC33B1"/>
    <w:rsid w:val="00DC5472"/>
    <w:rsid w:val="00DC5B49"/>
    <w:rsid w:val="00DD0746"/>
    <w:rsid w:val="00DD0850"/>
    <w:rsid w:val="00DE084A"/>
    <w:rsid w:val="00DE4A7D"/>
    <w:rsid w:val="00DF4509"/>
    <w:rsid w:val="00DF52E9"/>
    <w:rsid w:val="00DF6408"/>
    <w:rsid w:val="00DF69A5"/>
    <w:rsid w:val="00E03192"/>
    <w:rsid w:val="00E035F7"/>
    <w:rsid w:val="00E0394F"/>
    <w:rsid w:val="00E05103"/>
    <w:rsid w:val="00E05966"/>
    <w:rsid w:val="00E10A1A"/>
    <w:rsid w:val="00E11AEB"/>
    <w:rsid w:val="00E1460E"/>
    <w:rsid w:val="00E162CE"/>
    <w:rsid w:val="00E25AF3"/>
    <w:rsid w:val="00E27205"/>
    <w:rsid w:val="00E278CA"/>
    <w:rsid w:val="00E3144D"/>
    <w:rsid w:val="00E335D4"/>
    <w:rsid w:val="00E3453B"/>
    <w:rsid w:val="00E628DA"/>
    <w:rsid w:val="00E636AE"/>
    <w:rsid w:val="00E65F42"/>
    <w:rsid w:val="00E71326"/>
    <w:rsid w:val="00E7310B"/>
    <w:rsid w:val="00E77000"/>
    <w:rsid w:val="00E84CE6"/>
    <w:rsid w:val="00E87657"/>
    <w:rsid w:val="00E95830"/>
    <w:rsid w:val="00EA55BE"/>
    <w:rsid w:val="00EB158C"/>
    <w:rsid w:val="00EB20FD"/>
    <w:rsid w:val="00EB38B6"/>
    <w:rsid w:val="00EC6A7A"/>
    <w:rsid w:val="00ED228B"/>
    <w:rsid w:val="00ED5B68"/>
    <w:rsid w:val="00EE544C"/>
    <w:rsid w:val="00EE63A9"/>
    <w:rsid w:val="00EE6840"/>
    <w:rsid w:val="00EF306E"/>
    <w:rsid w:val="00EF3FE7"/>
    <w:rsid w:val="00EF7A37"/>
    <w:rsid w:val="00EF7C13"/>
    <w:rsid w:val="00F05C3A"/>
    <w:rsid w:val="00F07767"/>
    <w:rsid w:val="00F132F0"/>
    <w:rsid w:val="00F1438D"/>
    <w:rsid w:val="00F216FA"/>
    <w:rsid w:val="00F24114"/>
    <w:rsid w:val="00F31698"/>
    <w:rsid w:val="00F3482D"/>
    <w:rsid w:val="00F3577A"/>
    <w:rsid w:val="00F4416B"/>
    <w:rsid w:val="00F441D8"/>
    <w:rsid w:val="00F44890"/>
    <w:rsid w:val="00F448C9"/>
    <w:rsid w:val="00F51DC9"/>
    <w:rsid w:val="00F52D94"/>
    <w:rsid w:val="00F55743"/>
    <w:rsid w:val="00F55921"/>
    <w:rsid w:val="00F55AB7"/>
    <w:rsid w:val="00F55BD2"/>
    <w:rsid w:val="00F562D5"/>
    <w:rsid w:val="00F56456"/>
    <w:rsid w:val="00F57396"/>
    <w:rsid w:val="00F607C8"/>
    <w:rsid w:val="00F627CD"/>
    <w:rsid w:val="00F76D45"/>
    <w:rsid w:val="00F80A65"/>
    <w:rsid w:val="00F84D68"/>
    <w:rsid w:val="00F93E37"/>
    <w:rsid w:val="00F94146"/>
    <w:rsid w:val="00F96661"/>
    <w:rsid w:val="00FA0D56"/>
    <w:rsid w:val="00FA2D65"/>
    <w:rsid w:val="00FA33DE"/>
    <w:rsid w:val="00FA6034"/>
    <w:rsid w:val="00FB0773"/>
    <w:rsid w:val="00FB0C62"/>
    <w:rsid w:val="00FB1E0E"/>
    <w:rsid w:val="00FB28AF"/>
    <w:rsid w:val="00FB426E"/>
    <w:rsid w:val="00FC2156"/>
    <w:rsid w:val="00FC5151"/>
    <w:rsid w:val="00FC53CE"/>
    <w:rsid w:val="00FC5DBC"/>
    <w:rsid w:val="00FC78A0"/>
    <w:rsid w:val="00FD06BA"/>
    <w:rsid w:val="00FD3595"/>
    <w:rsid w:val="00FE2E42"/>
    <w:rsid w:val="00FE7327"/>
    <w:rsid w:val="00FF065F"/>
    <w:rsid w:val="00FF0A8D"/>
    <w:rsid w:val="00FF2174"/>
    <w:rsid w:val="00FF3A76"/>
    <w:rsid w:val="00FF4230"/>
    <w:rsid w:val="00FF66AC"/>
    <w:rsid w:val="00FF6E4E"/>
    <w:rsid w:val="00FF6EB2"/>
    <w:rsid w:val="00FF7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C3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379F"/>
    <w:pPr>
      <w:spacing w:before="220" w:after="80"/>
      <w:ind w:firstLine="274"/>
    </w:pPr>
    <w:rPr>
      <w:rFonts w:ascii="Palatino" w:hAnsi="Palatino"/>
      <w:sz w:val="18"/>
    </w:rPr>
  </w:style>
  <w:style w:type="paragraph" w:styleId="Heading1">
    <w:name w:val="heading 1"/>
    <w:next w:val="Paragraph"/>
    <w:link w:val="Heading1Char"/>
    <w:autoRedefine/>
    <w:uiPriority w:val="9"/>
    <w:qFormat/>
    <w:rsid w:val="008005F1"/>
    <w:pPr>
      <w:keepNext/>
      <w:keepLines/>
      <w:spacing w:before="200" w:after="20"/>
      <w:outlineLvl w:val="0"/>
    </w:pPr>
    <w:rPr>
      <w:rFonts w:ascii="Helvetica" w:eastAsiaTheme="majorEastAsia" w:hAnsi="Helvetica" w:cstheme="majorBidi"/>
      <w:b/>
      <w:caps/>
      <w:sz w:val="18"/>
      <w:szCs w:val="32"/>
    </w:rPr>
  </w:style>
  <w:style w:type="paragraph" w:styleId="Heading2">
    <w:name w:val="heading 2"/>
    <w:basedOn w:val="Heading1"/>
    <w:next w:val="Paragraph"/>
    <w:link w:val="Heading2Char"/>
    <w:autoRedefine/>
    <w:qFormat/>
    <w:rsid w:val="008005F1"/>
    <w:pPr>
      <w:spacing w:before="120"/>
      <w:jc w:val="both"/>
      <w:outlineLvl w:val="1"/>
    </w:pPr>
    <w:rPr>
      <w:rFonts w:eastAsia="Times New Roman" w:cs="Times New Roman"/>
      <w:caps w:val="0"/>
      <w:kern w:val="32"/>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E723D"/>
    <w:pPr>
      <w:spacing w:before="0" w:after="200"/>
      <w:jc w:val="center"/>
    </w:pPr>
    <w:rPr>
      <w:rFonts w:ascii="Helvetica" w:hAnsi="Helvetica"/>
      <w:b/>
      <w:szCs w:val="18"/>
    </w:rPr>
  </w:style>
  <w:style w:type="character" w:customStyle="1" w:styleId="Heading2Char">
    <w:name w:val="Heading 2 Char"/>
    <w:basedOn w:val="DefaultParagraphFont"/>
    <w:link w:val="Heading2"/>
    <w:rsid w:val="008005F1"/>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8005F1"/>
    <w:rPr>
      <w:rFonts w:ascii="Helvetica" w:eastAsiaTheme="majorEastAsia" w:hAnsi="Helvetica" w:cstheme="majorBidi"/>
      <w:b/>
      <w:caps/>
      <w:sz w:val="18"/>
      <w:szCs w:val="32"/>
    </w:rPr>
  </w:style>
  <w:style w:type="paragraph" w:styleId="ListParagraph">
    <w:name w:val="List Paragraph"/>
    <w:basedOn w:val="Normal"/>
    <w:uiPriority w:val="34"/>
    <w:qFormat/>
    <w:rsid w:val="00AA05D5"/>
    <w:pPr>
      <w:ind w:left="720"/>
      <w:contextualSpacing/>
    </w:pPr>
  </w:style>
  <w:style w:type="paragraph" w:styleId="DocumentMap">
    <w:name w:val="Document Map"/>
    <w:basedOn w:val="Normal"/>
    <w:link w:val="DocumentMapChar"/>
    <w:uiPriority w:val="99"/>
    <w:semiHidden/>
    <w:unhideWhenUsed/>
    <w:rsid w:val="00833A03"/>
    <w:pPr>
      <w:spacing w:before="0" w:after="0"/>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833A03"/>
    <w:rPr>
      <w:rFonts w:ascii="Times New Roman" w:hAnsi="Times New Roman" w:cs="Times New Roman"/>
    </w:rPr>
  </w:style>
  <w:style w:type="table" w:styleId="TableGrid">
    <w:name w:val="Table Grid"/>
    <w:basedOn w:val="TableNormal"/>
    <w:uiPriority w:val="39"/>
    <w:rsid w:val="00664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84789A"/>
  </w:style>
  <w:style w:type="paragraph" w:styleId="Title">
    <w:name w:val="Title"/>
    <w:next w:val="Normal"/>
    <w:link w:val="TitleChar"/>
    <w:uiPriority w:val="10"/>
    <w:qFormat/>
    <w:rsid w:val="002B58C1"/>
    <w:pPr>
      <w:contextualSpacing/>
    </w:pPr>
    <w:rPr>
      <w:rFonts w:ascii="Helvetica" w:eastAsiaTheme="majorEastAsia" w:hAnsi="Helvetica" w:cstheme="majorBidi"/>
      <w:b/>
      <w:bCs/>
      <w:spacing w:val="-10"/>
      <w:kern w:val="28"/>
      <w:sz w:val="56"/>
      <w:szCs w:val="56"/>
    </w:rPr>
  </w:style>
  <w:style w:type="character" w:customStyle="1" w:styleId="TitleChar">
    <w:name w:val="Title Char"/>
    <w:basedOn w:val="DefaultParagraphFont"/>
    <w:link w:val="Title"/>
    <w:uiPriority w:val="10"/>
    <w:rsid w:val="002B58C1"/>
    <w:rPr>
      <w:rFonts w:ascii="Helvetica" w:eastAsiaTheme="majorEastAsia" w:hAnsi="Helvetica" w:cstheme="majorBidi"/>
      <w:b/>
      <w:bCs/>
      <w:spacing w:val="-10"/>
      <w:kern w:val="28"/>
      <w:sz w:val="56"/>
      <w:szCs w:val="56"/>
    </w:rPr>
  </w:style>
  <w:style w:type="paragraph" w:customStyle="1" w:styleId="Paragraph">
    <w:name w:val="Paragraph"/>
    <w:autoRedefine/>
    <w:qFormat/>
    <w:rsid w:val="00770827"/>
    <w:pPr>
      <w:ind w:firstLine="245"/>
    </w:pPr>
    <w:rPr>
      <w:rFonts w:ascii="Palatino" w:hAnsi="Palatino"/>
      <w:sz w:val="18"/>
      <w:szCs w:val="22"/>
    </w:rPr>
  </w:style>
  <w:style w:type="character" w:styleId="CommentReference">
    <w:name w:val="annotation reference"/>
    <w:basedOn w:val="DefaultParagraphFont"/>
    <w:uiPriority w:val="99"/>
    <w:semiHidden/>
    <w:unhideWhenUsed/>
    <w:rsid w:val="001045F1"/>
    <w:rPr>
      <w:sz w:val="18"/>
      <w:szCs w:val="18"/>
    </w:rPr>
  </w:style>
  <w:style w:type="paragraph" w:styleId="CommentText">
    <w:name w:val="annotation text"/>
    <w:basedOn w:val="Normal"/>
    <w:link w:val="CommentTextChar"/>
    <w:uiPriority w:val="99"/>
    <w:semiHidden/>
    <w:unhideWhenUsed/>
    <w:rsid w:val="001045F1"/>
    <w:rPr>
      <w:sz w:val="24"/>
    </w:rPr>
  </w:style>
  <w:style w:type="character" w:customStyle="1" w:styleId="CommentTextChar">
    <w:name w:val="Comment Text Char"/>
    <w:basedOn w:val="DefaultParagraphFont"/>
    <w:link w:val="CommentText"/>
    <w:uiPriority w:val="99"/>
    <w:semiHidden/>
    <w:rsid w:val="001045F1"/>
    <w:rPr>
      <w:rFonts w:ascii="Palatino" w:hAnsi="Palatino"/>
    </w:rPr>
  </w:style>
  <w:style w:type="paragraph" w:styleId="CommentSubject">
    <w:name w:val="annotation subject"/>
    <w:basedOn w:val="CommentText"/>
    <w:next w:val="CommentText"/>
    <w:link w:val="CommentSubjectChar"/>
    <w:uiPriority w:val="99"/>
    <w:semiHidden/>
    <w:unhideWhenUsed/>
    <w:rsid w:val="001045F1"/>
    <w:rPr>
      <w:b/>
      <w:bCs/>
      <w:sz w:val="20"/>
      <w:szCs w:val="20"/>
    </w:rPr>
  </w:style>
  <w:style w:type="character" w:customStyle="1" w:styleId="CommentSubjectChar">
    <w:name w:val="Comment Subject Char"/>
    <w:basedOn w:val="CommentTextChar"/>
    <w:link w:val="CommentSubject"/>
    <w:uiPriority w:val="99"/>
    <w:semiHidden/>
    <w:rsid w:val="001045F1"/>
    <w:rPr>
      <w:rFonts w:ascii="Palatino" w:hAnsi="Palatino"/>
      <w:b/>
      <w:bCs/>
      <w:sz w:val="20"/>
      <w:szCs w:val="20"/>
    </w:rPr>
  </w:style>
  <w:style w:type="paragraph" w:styleId="BalloonText">
    <w:name w:val="Balloon Text"/>
    <w:basedOn w:val="Normal"/>
    <w:link w:val="BalloonTextChar"/>
    <w:uiPriority w:val="99"/>
    <w:semiHidden/>
    <w:unhideWhenUsed/>
    <w:rsid w:val="001045F1"/>
    <w:pPr>
      <w:spacing w:before="0" w:after="0"/>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1045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01043">
      <w:bodyDiv w:val="1"/>
      <w:marLeft w:val="0"/>
      <w:marRight w:val="0"/>
      <w:marTop w:val="0"/>
      <w:marBottom w:val="0"/>
      <w:divBdr>
        <w:top w:val="none" w:sz="0" w:space="0" w:color="auto"/>
        <w:left w:val="none" w:sz="0" w:space="0" w:color="auto"/>
        <w:bottom w:val="none" w:sz="0" w:space="0" w:color="auto"/>
        <w:right w:val="none" w:sz="0" w:space="0" w:color="auto"/>
      </w:divBdr>
    </w:div>
    <w:div w:id="226033939">
      <w:bodyDiv w:val="1"/>
      <w:marLeft w:val="0"/>
      <w:marRight w:val="0"/>
      <w:marTop w:val="0"/>
      <w:marBottom w:val="0"/>
      <w:divBdr>
        <w:top w:val="none" w:sz="0" w:space="0" w:color="auto"/>
        <w:left w:val="none" w:sz="0" w:space="0" w:color="auto"/>
        <w:bottom w:val="none" w:sz="0" w:space="0" w:color="auto"/>
        <w:right w:val="none" w:sz="0" w:space="0" w:color="auto"/>
      </w:divBdr>
    </w:div>
    <w:div w:id="997339514">
      <w:bodyDiv w:val="1"/>
      <w:marLeft w:val="0"/>
      <w:marRight w:val="0"/>
      <w:marTop w:val="0"/>
      <w:marBottom w:val="0"/>
      <w:divBdr>
        <w:top w:val="none" w:sz="0" w:space="0" w:color="auto"/>
        <w:left w:val="none" w:sz="0" w:space="0" w:color="auto"/>
        <w:bottom w:val="none" w:sz="0" w:space="0" w:color="auto"/>
        <w:right w:val="none" w:sz="0" w:space="0" w:color="auto"/>
      </w:divBdr>
    </w:div>
    <w:div w:id="1047296178">
      <w:bodyDiv w:val="1"/>
      <w:marLeft w:val="0"/>
      <w:marRight w:val="0"/>
      <w:marTop w:val="0"/>
      <w:marBottom w:val="0"/>
      <w:divBdr>
        <w:top w:val="none" w:sz="0" w:space="0" w:color="auto"/>
        <w:left w:val="none" w:sz="0" w:space="0" w:color="auto"/>
        <w:bottom w:val="none" w:sz="0" w:space="0" w:color="auto"/>
        <w:right w:val="none" w:sz="0" w:space="0" w:color="auto"/>
      </w:divBdr>
    </w:div>
    <w:div w:id="1089473345">
      <w:bodyDiv w:val="1"/>
      <w:marLeft w:val="0"/>
      <w:marRight w:val="0"/>
      <w:marTop w:val="0"/>
      <w:marBottom w:val="0"/>
      <w:divBdr>
        <w:top w:val="none" w:sz="0" w:space="0" w:color="auto"/>
        <w:left w:val="none" w:sz="0" w:space="0" w:color="auto"/>
        <w:bottom w:val="none" w:sz="0" w:space="0" w:color="auto"/>
        <w:right w:val="none" w:sz="0" w:space="0" w:color="auto"/>
      </w:divBdr>
    </w:div>
    <w:div w:id="1157963432">
      <w:bodyDiv w:val="1"/>
      <w:marLeft w:val="0"/>
      <w:marRight w:val="0"/>
      <w:marTop w:val="0"/>
      <w:marBottom w:val="0"/>
      <w:divBdr>
        <w:top w:val="none" w:sz="0" w:space="0" w:color="auto"/>
        <w:left w:val="none" w:sz="0" w:space="0" w:color="auto"/>
        <w:bottom w:val="none" w:sz="0" w:space="0" w:color="auto"/>
        <w:right w:val="none" w:sz="0" w:space="0" w:color="auto"/>
      </w:divBdr>
    </w:div>
    <w:div w:id="1177111562">
      <w:bodyDiv w:val="1"/>
      <w:marLeft w:val="0"/>
      <w:marRight w:val="0"/>
      <w:marTop w:val="0"/>
      <w:marBottom w:val="0"/>
      <w:divBdr>
        <w:top w:val="none" w:sz="0" w:space="0" w:color="auto"/>
        <w:left w:val="none" w:sz="0" w:space="0" w:color="auto"/>
        <w:bottom w:val="none" w:sz="0" w:space="0" w:color="auto"/>
        <w:right w:val="none" w:sz="0" w:space="0" w:color="auto"/>
      </w:divBdr>
    </w:div>
    <w:div w:id="1256865172">
      <w:bodyDiv w:val="1"/>
      <w:marLeft w:val="0"/>
      <w:marRight w:val="0"/>
      <w:marTop w:val="0"/>
      <w:marBottom w:val="0"/>
      <w:divBdr>
        <w:top w:val="none" w:sz="0" w:space="0" w:color="auto"/>
        <w:left w:val="none" w:sz="0" w:space="0" w:color="auto"/>
        <w:bottom w:val="none" w:sz="0" w:space="0" w:color="auto"/>
        <w:right w:val="none" w:sz="0" w:space="0" w:color="auto"/>
      </w:divBdr>
    </w:div>
    <w:div w:id="1436829071">
      <w:bodyDiv w:val="1"/>
      <w:marLeft w:val="0"/>
      <w:marRight w:val="0"/>
      <w:marTop w:val="0"/>
      <w:marBottom w:val="0"/>
      <w:divBdr>
        <w:top w:val="none" w:sz="0" w:space="0" w:color="auto"/>
        <w:left w:val="none" w:sz="0" w:space="0" w:color="auto"/>
        <w:bottom w:val="none" w:sz="0" w:space="0" w:color="auto"/>
        <w:right w:val="none" w:sz="0" w:space="0" w:color="auto"/>
      </w:divBdr>
    </w:div>
    <w:div w:id="1689019179">
      <w:bodyDiv w:val="1"/>
      <w:marLeft w:val="0"/>
      <w:marRight w:val="0"/>
      <w:marTop w:val="0"/>
      <w:marBottom w:val="0"/>
      <w:divBdr>
        <w:top w:val="none" w:sz="0" w:space="0" w:color="auto"/>
        <w:left w:val="none" w:sz="0" w:space="0" w:color="auto"/>
        <w:bottom w:val="none" w:sz="0" w:space="0" w:color="auto"/>
        <w:right w:val="none" w:sz="0" w:space="0" w:color="auto"/>
      </w:divBdr>
    </w:div>
    <w:div w:id="1999308376">
      <w:bodyDiv w:val="1"/>
      <w:marLeft w:val="0"/>
      <w:marRight w:val="0"/>
      <w:marTop w:val="0"/>
      <w:marBottom w:val="0"/>
      <w:divBdr>
        <w:top w:val="none" w:sz="0" w:space="0" w:color="auto"/>
        <w:left w:val="none" w:sz="0" w:space="0" w:color="auto"/>
        <w:bottom w:val="none" w:sz="0" w:space="0" w:color="auto"/>
        <w:right w:val="none" w:sz="0" w:space="0" w:color="auto"/>
      </w:divBdr>
    </w:div>
    <w:div w:id="2091922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Bor</b:Tag>
    <b:SourceType>ConferenceProceedings</b:SourceType>
    <b:Guid>{CAD575A6-7640-E24A-A72F-98FF7F475AD7}</b:Guid>
    <b:Title>Batching, Error Checking and Data Collecting: Understanding Data Entry in a Financial Office</b:Title>
    <b:City>Sheffield, UK</b:City>
    <b:Author>
      <b:Author>
        <b:NameList>
          <b:Person>
            <b:Last>Borghouts</b:Last>
            <b:First>Judith</b:First>
          </b:Person>
          <b:Person>
            <b:Last>Brumby</b:Last>
            <b:First>Duncan</b:First>
          </b:Person>
          <b:Person>
            <b:Last>Cox</b:Last>
            <b:First>Anna</b:First>
          </b:Person>
        </b:NameList>
      </b:Author>
    </b:Author>
    <b:ConferenceName>Proceedings of the 15th European Conference on Computer-Supported Work</b:ConferenceName>
    <b:Year>2017</b:Year>
    <b:RefOrder>1</b:RefOrder>
  </b:Source>
  <b:Source>
    <b:Tag>Gon04</b:Tag>
    <b:SourceType>ConferenceProceedings</b:SourceType>
    <b:Guid>{09A18790-9177-BC43-AC3D-A99ADDB18798}</b:Guid>
    <b:Author>
      <b:Author>
        <b:NameList>
          <b:Person>
            <b:Last>Gonzalez</b:Last>
            <b:First>Victor</b:First>
            <b:Middle>M</b:Middle>
          </b:Person>
          <b:Person>
            <b:Last>Mark</b:Last>
            <b:First>Gloria</b:First>
          </b:Person>
        </b:NameList>
      </b:Author>
    </b:Author>
    <b:Title>Constant, constant, multi-tasking craziness</b:Title>
    <b:ConferenceName>Proceedings of the SIGCHI Conference on Human Factors in Computing Systems (CHI'04)</b:ConferenceName>
    <b:Year>2004</b:Year>
    <b:Pages>113-120</b:Pages>
    <b:RefOrder>2</b:RefOrder>
  </b:Source>
  <b:Source>
    <b:Tag>Man18</b:Tag>
    <b:SourceType>InternetSite</b:SourceType>
    <b:Guid>{8719A2F6-BAE2-584B-ADD6-A0D166F31999}</b:Guid>
    <b:Year>2018</b:Year>
    <b:InternetSiteTitle>ManicTime</b:InternetSiteTitle>
    <b:URL>https://www.manictime.com</b:URL>
    <b:Month>1</b:Month>
    <b:Day>8</b:Day>
    <b:RefOrder>3</b:RefOrder>
  </b:Source>
</b:Sources>
</file>

<file path=customXml/itemProps1.xml><?xml version="1.0" encoding="utf-8"?>
<ds:datastoreItem xmlns:ds="http://schemas.openxmlformats.org/officeDocument/2006/customXml" ds:itemID="{F005F4D9-BCBC-124C-89E2-8A668AA8D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6</Pages>
  <Words>9470</Words>
  <Characters>53981</Characters>
  <Application>Microsoft Macintosh Word</Application>
  <DocSecurity>0</DocSecurity>
  <Lines>449</Lines>
  <Paragraphs>126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Abstract</vt:lpstr>
      <vt:lpstr>Introduction</vt:lpstr>
      <vt:lpstr>Method</vt:lpstr>
      <vt:lpstr>    Participants</vt:lpstr>
      <vt:lpstr>    Design</vt:lpstr>
      <vt:lpstr>    Materials</vt:lpstr>
      <vt:lpstr>    Procedure</vt:lpstr>
      <vt:lpstr>Results</vt:lpstr>
      <vt:lpstr>Discussion</vt:lpstr>
      <vt:lpstr>References</vt:lpstr>
    </vt:vector>
  </TitlesOfParts>
  <LinksUpToDate>false</LinksUpToDate>
  <CharactersWithSpaces>63325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Judith</dc:creator>
  <cp:keywords/>
  <dc:description/>
  <cp:lastModifiedBy>Microsoft Office User</cp:lastModifiedBy>
  <cp:revision>686</cp:revision>
  <dcterms:created xsi:type="dcterms:W3CDTF">2017-12-20T14:27:00Z</dcterms:created>
  <dcterms:modified xsi:type="dcterms:W3CDTF">2018-01-09T16:02:00Z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062ef6f7-abab-3867-8de2-1dbc7d80cca8</vt:lpwstr>
  </property>
  <property fmtid="{D5CDD505-2E9C-101B-9397-08002B2CF9AE}" pid="24" name="Mendeley Citation Style_1">
    <vt:lpwstr>http://www.zotero.org/styles/apa</vt:lpwstr>
  </property>
</Properties>
</file>