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AFCED" w14:textId="5698A793" w:rsidR="005A379F" w:rsidRPr="002B58C1" w:rsidRDefault="004107C1" w:rsidP="00D91ABE">
      <w:pPr>
        <w:pStyle w:val="Title"/>
        <w:rPr>
          <w:rFonts w:eastAsia="Times New Roman"/>
          <w:sz w:val="29"/>
          <w:szCs w:val="29"/>
        </w:rPr>
      </w:pPr>
      <w:r>
        <w:rPr>
          <w:rFonts w:eastAsia="Times New Roman"/>
          <w:sz w:val="29"/>
          <w:szCs w:val="29"/>
        </w:rPr>
        <w:t xml:space="preserve">Study 5: </w:t>
      </w:r>
      <w:r w:rsidR="00106515" w:rsidRPr="002B58C1">
        <w:rPr>
          <w:rFonts w:eastAsia="Times New Roman"/>
          <w:sz w:val="29"/>
          <w:szCs w:val="29"/>
        </w:rPr>
        <w:t xml:space="preserve">Looking up </w:t>
      </w:r>
      <w:r w:rsidR="00D67E82" w:rsidRPr="002B58C1">
        <w:rPr>
          <w:rFonts w:eastAsia="Times New Roman"/>
          <w:sz w:val="29"/>
          <w:szCs w:val="29"/>
        </w:rPr>
        <w:t>information</w:t>
      </w:r>
      <w:r w:rsidR="00106515" w:rsidRPr="002B58C1">
        <w:rPr>
          <w:rFonts w:eastAsia="Times New Roman"/>
          <w:sz w:val="29"/>
          <w:szCs w:val="29"/>
        </w:rPr>
        <w:t xml:space="preserve"> in email</w:t>
      </w:r>
      <w:r w:rsidR="005A379F" w:rsidRPr="002B58C1">
        <w:rPr>
          <w:rFonts w:eastAsia="Times New Roman"/>
          <w:sz w:val="29"/>
          <w:szCs w:val="29"/>
        </w:rPr>
        <w:t xml:space="preserve">: an online experiment shows people </w:t>
      </w:r>
      <w:r w:rsidR="00AA678A" w:rsidRPr="002B58C1">
        <w:rPr>
          <w:rFonts w:eastAsia="Times New Roman"/>
          <w:sz w:val="29"/>
          <w:szCs w:val="29"/>
        </w:rPr>
        <w:t xml:space="preserve">make shorter </w:t>
      </w:r>
      <w:r w:rsidR="00B76C18" w:rsidRPr="002B58C1">
        <w:rPr>
          <w:rFonts w:eastAsia="Times New Roman"/>
          <w:sz w:val="29"/>
          <w:szCs w:val="29"/>
        </w:rPr>
        <w:t>visits to their inbox</w:t>
      </w:r>
      <w:r w:rsidR="005A379F" w:rsidRPr="002B58C1">
        <w:rPr>
          <w:rFonts w:eastAsia="Times New Roman"/>
          <w:sz w:val="29"/>
          <w:szCs w:val="29"/>
        </w:rPr>
        <w:t xml:space="preserve"> when given feedback on the </w:t>
      </w:r>
      <w:r w:rsidR="0020233A">
        <w:rPr>
          <w:rFonts w:eastAsia="Times New Roman"/>
          <w:sz w:val="29"/>
          <w:szCs w:val="29"/>
        </w:rPr>
        <w:t>duration</w:t>
      </w:r>
      <w:r w:rsidR="005A379F" w:rsidRPr="002B58C1">
        <w:rPr>
          <w:rFonts w:eastAsia="Times New Roman"/>
          <w:sz w:val="29"/>
          <w:szCs w:val="29"/>
        </w:rPr>
        <w:t xml:space="preserve"> of their </w:t>
      </w:r>
      <w:r w:rsidR="00AA678A" w:rsidRPr="002B58C1">
        <w:rPr>
          <w:rFonts w:eastAsia="Times New Roman"/>
          <w:sz w:val="29"/>
          <w:szCs w:val="29"/>
        </w:rPr>
        <w:t>switches</w:t>
      </w:r>
    </w:p>
    <w:p w14:paraId="7626C5A8" w14:textId="02BA4795" w:rsidR="00AB24E6" w:rsidRPr="005D6BD9" w:rsidRDefault="00AB24E6" w:rsidP="008005F1">
      <w:pPr>
        <w:pStyle w:val="Heading1"/>
      </w:pPr>
      <w:r w:rsidRPr="005D6BD9">
        <w:t>Method</w:t>
      </w:r>
    </w:p>
    <w:p w14:paraId="563DBCEB" w14:textId="2D050A67" w:rsidR="001E443F" w:rsidRPr="002E3639" w:rsidRDefault="001E443F" w:rsidP="008005F1">
      <w:pPr>
        <w:pStyle w:val="Heading2"/>
      </w:pPr>
      <w:r w:rsidRPr="002E3639">
        <w:t>Participants</w:t>
      </w:r>
    </w:p>
    <w:p w14:paraId="6D83F3C6" w14:textId="40129ED1" w:rsidR="00AB5EE9" w:rsidRDefault="00D82507" w:rsidP="00497E07">
      <w:pPr>
        <w:pStyle w:val="Paragraph"/>
        <w:ind w:firstLine="0"/>
      </w:pPr>
      <w:r>
        <w:t>Fourty-seven</w:t>
      </w:r>
      <w:r w:rsidR="001E443F">
        <w:t xml:space="preserve"> participants </w:t>
      </w:r>
      <w:r w:rsidR="00AB3A69">
        <w:t>(30</w:t>
      </w:r>
      <w:r w:rsidR="00D30599">
        <w:t xml:space="preserve"> women) </w:t>
      </w:r>
      <w:r w:rsidR="001E443F">
        <w:t xml:space="preserve">took part in the </w:t>
      </w:r>
      <w:r w:rsidR="000046B4">
        <w:t xml:space="preserve">online </w:t>
      </w:r>
      <w:r w:rsidR="001E443F">
        <w:t xml:space="preserve">experiment. </w:t>
      </w:r>
      <w:r w:rsidR="007704EA">
        <w:t xml:space="preserve">Ages ranged from </w:t>
      </w:r>
      <w:r w:rsidR="00E34E2E">
        <w:t>20</w:t>
      </w:r>
      <w:r w:rsidR="000E525B">
        <w:t xml:space="preserve"> to 63 </w:t>
      </w:r>
      <w:r w:rsidR="00D23C90">
        <w:t>(M = 29.3</w:t>
      </w:r>
      <w:r w:rsidR="00D52557">
        <w:t xml:space="preserve"> years, SD = </w:t>
      </w:r>
      <w:r w:rsidR="00693D03">
        <w:t>9.1</w:t>
      </w:r>
      <w:bookmarkStart w:id="0" w:name="_GoBack"/>
      <w:bookmarkEnd w:id="0"/>
      <w:r w:rsidR="000E525B">
        <w:t xml:space="preserve"> years</w:t>
      </w:r>
      <w:r w:rsidR="00D52557">
        <w:t xml:space="preserve">). </w:t>
      </w:r>
      <w:r w:rsidR="00A86B7A">
        <w:t>The participants</w:t>
      </w:r>
      <w:r w:rsidR="001C3430">
        <w:t xml:space="preserve"> were recruited via university email lists</w:t>
      </w:r>
      <w:r w:rsidR="006F27A4">
        <w:t xml:space="preserve">, </w:t>
      </w:r>
      <w:r w:rsidR="00A86B7A">
        <w:t>social media</w:t>
      </w:r>
      <w:r w:rsidR="001C3430">
        <w:t xml:space="preserve"> and </w:t>
      </w:r>
      <w:r w:rsidR="00701FDD">
        <w:t xml:space="preserve">online platforms to advertise academic studies. </w:t>
      </w:r>
    </w:p>
    <w:p w14:paraId="0DB30F20" w14:textId="2957ECEF" w:rsidR="00AB5EE9" w:rsidRPr="002E3639" w:rsidRDefault="00AB5EE9" w:rsidP="00497E07">
      <w:pPr>
        <w:pStyle w:val="Heading2"/>
      </w:pPr>
      <w:r w:rsidRPr="002E3639">
        <w:t>Design</w:t>
      </w:r>
    </w:p>
    <w:p w14:paraId="18E2594B" w14:textId="3834140E" w:rsidR="00F216FA" w:rsidRDefault="00AB24E6" w:rsidP="00883627">
      <w:pPr>
        <w:pStyle w:val="Paragraph"/>
        <w:ind w:firstLine="0"/>
      </w:pPr>
      <w:r>
        <w:t xml:space="preserve">The study </w:t>
      </w:r>
      <w:r w:rsidR="000046B4">
        <w:t>used</w:t>
      </w:r>
      <w:r>
        <w:t xml:space="preserve"> a between-participants design with one independent variable, a notification. </w:t>
      </w:r>
      <w:r w:rsidR="00DC32DE">
        <w:t xml:space="preserve">In the </w:t>
      </w:r>
      <w:r w:rsidR="00DC32DE" w:rsidRPr="00DC32DE">
        <w:rPr>
          <w:i/>
        </w:rPr>
        <w:t>control</w:t>
      </w:r>
      <w:r w:rsidR="00DC32DE">
        <w:t xml:space="preserve"> condition, participants did not receive a notification</w:t>
      </w:r>
      <w:r w:rsidR="00B46C96">
        <w:t xml:space="preserve">, but </w:t>
      </w:r>
      <w:r w:rsidR="004660C8">
        <w:t xml:space="preserve">switches away from the data entry window </w:t>
      </w:r>
      <w:r w:rsidR="00B46C96">
        <w:t>were recorded</w:t>
      </w:r>
      <w:r w:rsidR="00DC32DE">
        <w:t xml:space="preserve">. In the </w:t>
      </w:r>
      <w:r w:rsidR="00DC32DE" w:rsidRPr="00DC32DE">
        <w:rPr>
          <w:i/>
        </w:rPr>
        <w:t>notification</w:t>
      </w:r>
      <w:r w:rsidR="00DC32DE">
        <w:t xml:space="preserve"> condition, </w:t>
      </w:r>
      <w:r w:rsidR="00935243" w:rsidRPr="00935243">
        <w:t>participants</w:t>
      </w:r>
      <w:r w:rsidR="00935243">
        <w:t xml:space="preserve"> were shown a notification </w:t>
      </w:r>
      <w:r w:rsidR="00AE070E">
        <w:t>every time</w:t>
      </w:r>
      <w:r w:rsidR="003F5782">
        <w:t xml:space="preserve"> they completed a</w:t>
      </w:r>
      <w:r w:rsidR="00BA1E95">
        <w:t xml:space="preserve"> </w:t>
      </w:r>
      <w:r w:rsidR="004660C8">
        <w:t>trial</w:t>
      </w:r>
      <w:r w:rsidR="00935243">
        <w:t xml:space="preserve">. This notification showed how long on average they </w:t>
      </w:r>
      <w:r w:rsidR="00883627">
        <w:t>were</w:t>
      </w:r>
      <w:r w:rsidR="00935243">
        <w:t xml:space="preserve"> away for</w:t>
      </w:r>
      <w:r w:rsidR="009B1CDB">
        <w:t xml:space="preserve"> </w:t>
      </w:r>
      <w:r w:rsidR="00FD3595">
        <w:t>when switching</w:t>
      </w:r>
      <w:r w:rsidR="009B1CDB">
        <w:t xml:space="preserve"> away</w:t>
      </w:r>
      <w:r w:rsidR="00797D28">
        <w:t xml:space="preserve"> from the window,</w:t>
      </w:r>
      <w:r w:rsidR="00935243">
        <w:t xml:space="preserve"> before returning to the task.</w:t>
      </w:r>
      <w:r w:rsidR="00935243" w:rsidRPr="00935243">
        <w:t xml:space="preserve"> </w:t>
      </w:r>
      <w:r w:rsidR="007644C2" w:rsidRPr="00B46C96">
        <w:t xml:space="preserve">The purpose of this </w:t>
      </w:r>
      <w:r w:rsidR="007644C2">
        <w:t xml:space="preserve">notification was to see if the number and </w:t>
      </w:r>
      <w:r w:rsidR="00883627">
        <w:t>duration</w:t>
      </w:r>
      <w:r w:rsidR="007644C2">
        <w:t xml:space="preserve"> of switches </w:t>
      </w:r>
      <w:r w:rsidR="007644C2" w:rsidRPr="00B46C96">
        <w:t xml:space="preserve">could be reduced by </w:t>
      </w:r>
      <w:r w:rsidR="007644C2">
        <w:t>giving</w:t>
      </w:r>
      <w:r w:rsidR="007644C2" w:rsidRPr="00B46C96">
        <w:t xml:space="preserve"> participants </w:t>
      </w:r>
      <w:r w:rsidR="007644C2">
        <w:t xml:space="preserve">feedback on the </w:t>
      </w:r>
      <w:r w:rsidR="00883627">
        <w:t>time spent of on</w:t>
      </w:r>
      <w:r w:rsidR="007644C2">
        <w:t xml:space="preserve"> switches</w:t>
      </w:r>
      <w:r w:rsidR="007644C2" w:rsidRPr="00B46C96">
        <w:t>.</w:t>
      </w:r>
      <w:r w:rsidR="007644C2">
        <w:t xml:space="preserve"> </w:t>
      </w:r>
      <w:r w:rsidR="00654CAC">
        <w:t xml:space="preserve">Dependent variables were number and </w:t>
      </w:r>
      <w:r w:rsidR="00621DF4">
        <w:t>duration</w:t>
      </w:r>
      <w:r w:rsidR="00654CAC">
        <w:t xml:space="preserve"> of switches</w:t>
      </w:r>
      <w:r w:rsidR="00FE7327">
        <w:t xml:space="preserve"> away from the data entry interface</w:t>
      </w:r>
      <w:r w:rsidR="00654CAC">
        <w:t xml:space="preserve">, </w:t>
      </w:r>
      <w:r w:rsidR="002445B9">
        <w:t>trial</w:t>
      </w:r>
      <w:r w:rsidR="00654CAC">
        <w:t xml:space="preserve"> completion time, and data entry errors.</w:t>
      </w:r>
      <w:r w:rsidR="005A71A9">
        <w:t xml:space="preserve"> </w:t>
      </w:r>
      <w:r w:rsidR="005A71A9" w:rsidRPr="005A71A9">
        <w:t>Switching behavio</w:t>
      </w:r>
      <w:r w:rsidR="00C61A2F">
        <w:t>u</w:t>
      </w:r>
      <w:r w:rsidR="005A71A9" w:rsidRPr="005A71A9">
        <w:t xml:space="preserve">r was recorded </w:t>
      </w:r>
      <w:r w:rsidR="00C61A2F">
        <w:t>using</w:t>
      </w:r>
      <w:r w:rsidR="005A71A9" w:rsidRPr="005A71A9">
        <w:t xml:space="preserve"> JavaScript’s blur and focus </w:t>
      </w:r>
      <w:r w:rsidR="00C61A2F">
        <w:t>events</w:t>
      </w:r>
      <w:r w:rsidR="005A71A9" w:rsidRPr="005A71A9">
        <w:t xml:space="preserve">. These were triggered whenever a participant switched away from </w:t>
      </w:r>
      <w:r w:rsidR="00C907E7">
        <w:t>the</w:t>
      </w:r>
      <w:r w:rsidR="005A71A9" w:rsidRPr="005A71A9">
        <w:t xml:space="preserve"> </w:t>
      </w:r>
      <w:r w:rsidR="00C907E7">
        <w:t>data entry window</w:t>
      </w:r>
      <w:r w:rsidR="005A71A9" w:rsidRPr="005A71A9">
        <w:t xml:space="preserve">, whether to </w:t>
      </w:r>
      <w:r w:rsidR="00C907E7">
        <w:t>their email inbox</w:t>
      </w:r>
      <w:r w:rsidR="005A71A9" w:rsidRPr="005A71A9">
        <w:t xml:space="preserve"> or to a different </w:t>
      </w:r>
      <w:r w:rsidR="004572F4">
        <w:t xml:space="preserve">window or </w:t>
      </w:r>
      <w:r w:rsidR="005A71A9" w:rsidRPr="005A71A9">
        <w:t xml:space="preserve">application. </w:t>
      </w:r>
    </w:p>
    <w:p w14:paraId="6D0702F2" w14:textId="4CBAFFA6" w:rsidR="00BE723D" w:rsidRDefault="00F44890" w:rsidP="007C08EA">
      <w:pPr>
        <w:jc w:val="center"/>
      </w:pPr>
      <w:r>
        <w:rPr>
          <w:noProof/>
          <w:lang w:eastAsia="en-GB"/>
        </w:rPr>
        <w:drawing>
          <wp:inline distT="0" distB="0" distL="0" distR="0" wp14:anchorId="3CEE519B" wp14:editId="30AA45F8">
            <wp:extent cx="5727700" cy="270002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entrysheet 2.png"/>
                    <pic:cNvPicPr/>
                  </pic:nvPicPr>
                  <pic:blipFill>
                    <a:blip r:embed="rId6">
                      <a:extLst>
                        <a:ext uri="{28A0092B-C50C-407E-A947-70E740481C1C}">
                          <a14:useLocalDpi xmlns:a14="http://schemas.microsoft.com/office/drawing/2010/main" val="0"/>
                        </a:ext>
                      </a:extLst>
                    </a:blip>
                    <a:stretch>
                      <a:fillRect/>
                    </a:stretch>
                  </pic:blipFill>
                  <pic:spPr>
                    <a:xfrm rot="10800000" flipH="1" flipV="1">
                      <a:off x="0" y="0"/>
                      <a:ext cx="5727700" cy="2700020"/>
                    </a:xfrm>
                    <a:prstGeom prst="rect">
                      <a:avLst/>
                    </a:prstGeom>
                  </pic:spPr>
                </pic:pic>
              </a:graphicData>
            </a:graphic>
          </wp:inline>
        </w:drawing>
      </w:r>
    </w:p>
    <w:p w14:paraId="7861C988" w14:textId="78F6974B" w:rsidR="00647B42" w:rsidRPr="00BE723D" w:rsidRDefault="00BE723D" w:rsidP="006C41C2">
      <w:pPr>
        <w:pStyle w:val="Caption"/>
      </w:pPr>
      <w:bookmarkStart w:id="1" w:name="_Ref503269927"/>
      <w:r>
        <w:t xml:space="preserve">Figure </w:t>
      </w:r>
      <w:r w:rsidR="00693D03">
        <w:fldChar w:fldCharType="begin"/>
      </w:r>
      <w:r w:rsidR="00693D03">
        <w:instrText xml:space="preserve"> SEQ Figure \* ARABIC </w:instrText>
      </w:r>
      <w:r w:rsidR="00693D03">
        <w:fldChar w:fldCharType="separate"/>
      </w:r>
      <w:r w:rsidR="00F44890">
        <w:rPr>
          <w:noProof/>
        </w:rPr>
        <w:t>1</w:t>
      </w:r>
      <w:r w:rsidR="00693D03">
        <w:rPr>
          <w:noProof/>
        </w:rPr>
        <w:fldChar w:fldCharType="end"/>
      </w:r>
      <w:bookmarkEnd w:id="1"/>
      <w:r>
        <w:t>. The data entry task as shown in the browser. Participants had to enter the correct expense code for each expense.</w:t>
      </w:r>
    </w:p>
    <w:p w14:paraId="5D104BB7" w14:textId="77777777" w:rsidR="006C41C2" w:rsidRDefault="00D15522" w:rsidP="006C41C2">
      <w:pPr>
        <w:pStyle w:val="Paragraph"/>
        <w:keepNext/>
        <w:jc w:val="center"/>
      </w:pPr>
      <w:r>
        <w:rPr>
          <w:noProof/>
          <w:lang w:eastAsia="en-GB"/>
        </w:rPr>
        <w:lastRenderedPageBreak/>
        <w:drawing>
          <wp:inline distT="0" distB="0" distL="0" distR="0" wp14:anchorId="244E6C05" wp14:editId="699EA977">
            <wp:extent cx="3206647" cy="360587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table.png"/>
                    <pic:cNvPicPr/>
                  </pic:nvPicPr>
                  <pic:blipFill>
                    <a:blip r:embed="rId7">
                      <a:extLst>
                        <a:ext uri="{28A0092B-C50C-407E-A947-70E740481C1C}">
                          <a14:useLocalDpi xmlns:a14="http://schemas.microsoft.com/office/drawing/2010/main" val="0"/>
                        </a:ext>
                      </a:extLst>
                    </a:blip>
                    <a:stretch>
                      <a:fillRect/>
                    </a:stretch>
                  </pic:blipFill>
                  <pic:spPr>
                    <a:xfrm>
                      <a:off x="0" y="0"/>
                      <a:ext cx="3218778" cy="3619518"/>
                    </a:xfrm>
                    <a:prstGeom prst="rect">
                      <a:avLst/>
                    </a:prstGeom>
                  </pic:spPr>
                </pic:pic>
              </a:graphicData>
            </a:graphic>
          </wp:inline>
        </w:drawing>
      </w:r>
    </w:p>
    <w:p w14:paraId="5A7D68DB" w14:textId="2FEA32A4" w:rsidR="00647B42" w:rsidRDefault="006C41C2" w:rsidP="006C41C2">
      <w:pPr>
        <w:pStyle w:val="Caption"/>
      </w:pPr>
      <w:bookmarkStart w:id="2" w:name="_Ref503270017"/>
      <w:bookmarkStart w:id="3" w:name="_Ref503275388"/>
      <w:r>
        <w:t xml:space="preserve">Figure </w:t>
      </w:r>
      <w:r w:rsidR="00693D03">
        <w:fldChar w:fldCharType="begin"/>
      </w:r>
      <w:r w:rsidR="00693D03">
        <w:instrText xml:space="preserve"> SEQ Figure \* ARABIC </w:instrText>
      </w:r>
      <w:r w:rsidR="00693D03">
        <w:fldChar w:fldCharType="separate"/>
      </w:r>
      <w:r w:rsidR="00F44890">
        <w:rPr>
          <w:noProof/>
        </w:rPr>
        <w:t>2</w:t>
      </w:r>
      <w:r w:rsidR="00693D03">
        <w:rPr>
          <w:noProof/>
        </w:rPr>
        <w:fldChar w:fldCharType="end"/>
      </w:r>
      <w:bookmarkEnd w:id="2"/>
      <w:r>
        <w:t>. The table showing the expense types and corresponding codes, which was sent to participants in an email message.</w:t>
      </w:r>
      <w:bookmarkEnd w:id="3"/>
    </w:p>
    <w:p w14:paraId="3187FC71" w14:textId="77777777" w:rsidR="00F44890" w:rsidRDefault="00F44890" w:rsidP="00F44890">
      <w:pPr>
        <w:keepNext/>
        <w:jc w:val="center"/>
      </w:pPr>
      <w:r>
        <w:rPr>
          <w:noProof/>
          <w:lang w:eastAsia="en-GB"/>
        </w:rPr>
        <w:drawing>
          <wp:inline distT="0" distB="0" distL="0" distR="0" wp14:anchorId="6F2DCFD7" wp14:editId="504AAEB2">
            <wp:extent cx="5727700" cy="267335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entrysheet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673350"/>
                    </a:xfrm>
                    <a:prstGeom prst="rect">
                      <a:avLst/>
                    </a:prstGeom>
                  </pic:spPr>
                </pic:pic>
              </a:graphicData>
            </a:graphic>
          </wp:inline>
        </w:drawing>
      </w:r>
    </w:p>
    <w:p w14:paraId="6F1F6857" w14:textId="2C240AC8" w:rsidR="00F44890" w:rsidRPr="00F44890" w:rsidRDefault="00F44890" w:rsidP="00F44890">
      <w:pPr>
        <w:pStyle w:val="Caption"/>
      </w:pPr>
      <w:bookmarkStart w:id="4" w:name="_Ref503275425"/>
      <w:r>
        <w:t xml:space="preserve">Figure </w:t>
      </w:r>
      <w:r w:rsidR="00693D03">
        <w:fldChar w:fldCharType="begin"/>
      </w:r>
      <w:r w:rsidR="00693D03">
        <w:instrText xml:space="preserve"> SEQ Figure \* ARABIC </w:instrText>
      </w:r>
      <w:r w:rsidR="00693D03">
        <w:fldChar w:fldCharType="separate"/>
      </w:r>
      <w:r>
        <w:rPr>
          <w:noProof/>
        </w:rPr>
        <w:t>3</w:t>
      </w:r>
      <w:r w:rsidR="00693D03">
        <w:rPr>
          <w:noProof/>
        </w:rPr>
        <w:fldChar w:fldCharType="end"/>
      </w:r>
      <w:bookmarkEnd w:id="4"/>
      <w:r>
        <w:t xml:space="preserve">. The </w:t>
      </w:r>
      <w:r w:rsidR="00042193">
        <w:t>feedback</w:t>
      </w:r>
      <w:r>
        <w:t xml:space="preserve"> participants received on how long they are away</w:t>
      </w:r>
      <w:r w:rsidR="00F627CD">
        <w:t xml:space="preserve"> for</w:t>
      </w:r>
      <w:r>
        <w:t xml:space="preserve"> on average in the </w:t>
      </w:r>
      <w:r w:rsidRPr="00F44890">
        <w:rPr>
          <w:i/>
        </w:rPr>
        <w:t>notification</w:t>
      </w:r>
      <w:r>
        <w:t xml:space="preserve"> condition.</w:t>
      </w:r>
    </w:p>
    <w:p w14:paraId="3E8863C5" w14:textId="689FBE48" w:rsidR="00F216FA" w:rsidRPr="00FF3A76" w:rsidRDefault="00F216FA" w:rsidP="00497E07">
      <w:pPr>
        <w:pStyle w:val="Heading2"/>
      </w:pPr>
      <w:r w:rsidRPr="00FF3A76">
        <w:t>Materials</w:t>
      </w:r>
    </w:p>
    <w:p w14:paraId="53D153E5" w14:textId="3A50D3D5" w:rsidR="003A0524" w:rsidRDefault="003A0524" w:rsidP="00497E07">
      <w:pPr>
        <w:pStyle w:val="Paragraph"/>
        <w:ind w:firstLine="0"/>
      </w:pPr>
      <w:r>
        <w:t>The task used</w:t>
      </w:r>
      <w:r w:rsidR="003A46B3">
        <w:t xml:space="preserve"> was based on </w:t>
      </w:r>
      <w:r w:rsidR="00110EB3">
        <w:t>a common routine data entry task</w:t>
      </w:r>
      <w:r w:rsidR="00131C36">
        <w:t xml:space="preserve"> </w:t>
      </w:r>
      <w:r w:rsidR="003A46B3">
        <w:t xml:space="preserve">involving processing expenses </w:t>
      </w:r>
      <w:r w:rsidR="00131C36">
        <w:fldChar w:fldCharType="begin" w:fldLock="1"/>
      </w:r>
      <w:r w:rsidR="00131C36">
        <w:instrText>ADDIN CSL_CITATION { "citationItems" : [ { "id" : "ITEM-1", "itemData" : { "DOI" : "10.18420/ecscw2017-4", "author" : [ { "dropping-particle" : "", "family" : "Borghouts", "given" : "Judith", "non-dropping-particle" : "", "parse-names" : false, "suffix" : "" }, { "dropping-particle" : "", "family" : "Brumby", "given" : "Duncan P.", "non-dropping-particle" : "", "parse-names" : false, "suffix" : "" }, { "dropping-particle" : "", "family" : "Cox", "given" : "Anna L.", "non-dropping-particle" : "", "parse-names" : false, "suffix" : "" } ], "container-title" : "Proceedings of 15th European Conference on Computer-Supported Cooperative Work", "id" : "ITEM-1", "issued" : { "date-parts" : [ [ "2017" ] ] }, "publisher-place" : "Sheffield, UK", "title" : "Batching, Error Checking and Data Collecting : Understanding Data Entry in a Financial Office", "type" : "paper-conference" }, "uris" : [ "http://www.mendeley.com/documents/?uuid=e5b96d49-dfed-4554-85a3-e68d5ea651d3" ] } ], "mendeley" : { "formattedCitation" : "(Borghouts et al., 2017)", "plainTextFormattedCitation" : "(Borghouts et al., 2017)", "previouslyFormattedCitation" : "(Borghouts et al., 2017)" }, "properties" : {  }, "schema" : "https://github.com/citation-style-language/schema/raw/master/csl-citation.json" }</w:instrText>
      </w:r>
      <w:r w:rsidR="00131C36">
        <w:fldChar w:fldCharType="separate"/>
      </w:r>
      <w:r w:rsidR="00131C36" w:rsidRPr="00131C36">
        <w:rPr>
          <w:noProof/>
        </w:rPr>
        <w:t>(Borghouts et al., 2017)</w:t>
      </w:r>
      <w:r w:rsidR="00131C36">
        <w:fldChar w:fldCharType="end"/>
      </w:r>
      <w:r w:rsidR="00110EB3">
        <w:t xml:space="preserve">. </w:t>
      </w:r>
      <w:r w:rsidR="00D76B63">
        <w:t xml:space="preserve">Participants were </w:t>
      </w:r>
      <w:r w:rsidR="004572F4">
        <w:t>presented with</w:t>
      </w:r>
      <w:r w:rsidR="00D76B63">
        <w:t xml:space="preserve"> </w:t>
      </w:r>
      <w:r w:rsidR="00675F50">
        <w:t>a</w:t>
      </w:r>
      <w:r w:rsidR="004572F4">
        <w:t>n online</w:t>
      </w:r>
      <w:r w:rsidR="00675F50">
        <w:t xml:space="preserve"> </w:t>
      </w:r>
      <w:r w:rsidR="003C01D1">
        <w:t xml:space="preserve">sheet </w:t>
      </w:r>
      <w:r w:rsidR="004572F4">
        <w:t>containing</w:t>
      </w:r>
      <w:r w:rsidR="003C01D1">
        <w:t xml:space="preserve"> a </w:t>
      </w:r>
      <w:r w:rsidR="00D76B63">
        <w:t>set of ten ‘expenses’</w:t>
      </w:r>
      <w:r w:rsidR="00675F50">
        <w:t xml:space="preserve"> </w:t>
      </w:r>
      <w:r w:rsidR="00FA2D65">
        <w:t>(see</w:t>
      </w:r>
      <w:r w:rsidR="006C41C2">
        <w:t xml:space="preserve"> </w:t>
      </w:r>
      <w:r w:rsidR="006C41C2" w:rsidRPr="006C41C2">
        <w:rPr>
          <w:color w:val="4472C4" w:themeColor="accent1"/>
        </w:rPr>
        <w:fldChar w:fldCharType="begin"/>
      </w:r>
      <w:r w:rsidR="006C41C2" w:rsidRPr="006C41C2">
        <w:rPr>
          <w:color w:val="4472C4" w:themeColor="accent1"/>
        </w:rPr>
        <w:instrText xml:space="preserve"> REF _Ref503269927 \h </w:instrText>
      </w:r>
      <w:r w:rsidR="006C41C2" w:rsidRPr="006C41C2">
        <w:rPr>
          <w:color w:val="4472C4" w:themeColor="accent1"/>
        </w:rPr>
      </w:r>
      <w:r w:rsidR="006C41C2" w:rsidRPr="006C41C2">
        <w:rPr>
          <w:color w:val="4472C4" w:themeColor="accent1"/>
        </w:rPr>
        <w:fldChar w:fldCharType="separate"/>
      </w:r>
      <w:r w:rsidR="006C41C2" w:rsidRPr="006C41C2">
        <w:rPr>
          <w:color w:val="4472C4" w:themeColor="accent1"/>
        </w:rPr>
        <w:t xml:space="preserve">Figure </w:t>
      </w:r>
      <w:r w:rsidR="006C41C2" w:rsidRPr="006C41C2">
        <w:rPr>
          <w:noProof/>
          <w:color w:val="4472C4" w:themeColor="accent1"/>
        </w:rPr>
        <w:t>1</w:t>
      </w:r>
      <w:r w:rsidR="006C41C2" w:rsidRPr="006C41C2">
        <w:rPr>
          <w:color w:val="4472C4" w:themeColor="accent1"/>
        </w:rPr>
        <w:fldChar w:fldCharType="end"/>
      </w:r>
      <w:r w:rsidR="00FA2D65">
        <w:t>)</w:t>
      </w:r>
      <w:r w:rsidR="00D76B63">
        <w:t xml:space="preserve">. </w:t>
      </w:r>
      <w:r w:rsidR="00675F50">
        <w:t xml:space="preserve">They had to complete each </w:t>
      </w:r>
      <w:r w:rsidR="00374CD4">
        <w:t>row</w:t>
      </w:r>
      <w:r w:rsidR="00675F50">
        <w:t xml:space="preserve"> by entering</w:t>
      </w:r>
      <w:r w:rsidR="00D76B63">
        <w:t xml:space="preserve"> the correct </w:t>
      </w:r>
      <w:r w:rsidR="00F07767">
        <w:t>expense code</w:t>
      </w:r>
      <w:r w:rsidR="00374CD4">
        <w:t xml:space="preserve"> for the expense</w:t>
      </w:r>
      <w:r w:rsidR="00F07767">
        <w:t xml:space="preserve">. They retrieved this code by looking it up in </w:t>
      </w:r>
      <w:r w:rsidR="00D76B63">
        <w:t xml:space="preserve">a table of 25 expense categories </w:t>
      </w:r>
      <w:r w:rsidR="00FA2D65">
        <w:t xml:space="preserve">which each had a </w:t>
      </w:r>
      <w:r w:rsidR="00D76B63">
        <w:t>cor</w:t>
      </w:r>
      <w:r w:rsidR="00FA2D65">
        <w:t>responding 5-digit expense code</w:t>
      </w:r>
      <w:r w:rsidR="00552DDD">
        <w:t>, shown</w:t>
      </w:r>
      <w:r w:rsidR="00883555">
        <w:t xml:space="preserve"> in</w:t>
      </w:r>
      <w:r w:rsidR="00552DDD">
        <w:t xml:space="preserve"> </w:t>
      </w:r>
      <w:r w:rsidR="00552DDD" w:rsidRPr="00552DDD">
        <w:rPr>
          <w:color w:val="4472C4" w:themeColor="accent1"/>
        </w:rPr>
        <w:fldChar w:fldCharType="begin"/>
      </w:r>
      <w:r w:rsidR="00552DDD" w:rsidRPr="00552DDD">
        <w:rPr>
          <w:color w:val="4472C4" w:themeColor="accent1"/>
        </w:rPr>
        <w:instrText xml:space="preserve"> REF _Ref503270017 \h </w:instrText>
      </w:r>
      <w:r w:rsidR="00552DDD" w:rsidRPr="00552DDD">
        <w:rPr>
          <w:color w:val="4472C4" w:themeColor="accent1"/>
        </w:rPr>
      </w:r>
      <w:r w:rsidR="00552DDD" w:rsidRPr="00552DDD">
        <w:rPr>
          <w:color w:val="4472C4" w:themeColor="accent1"/>
        </w:rPr>
        <w:fldChar w:fldCharType="separate"/>
      </w:r>
      <w:r w:rsidR="00552DDD" w:rsidRPr="00552DDD">
        <w:rPr>
          <w:color w:val="4472C4" w:themeColor="accent1"/>
        </w:rPr>
        <w:t xml:space="preserve">Figure </w:t>
      </w:r>
      <w:r w:rsidR="00552DDD" w:rsidRPr="00552DDD">
        <w:rPr>
          <w:noProof/>
          <w:color w:val="4472C4" w:themeColor="accent1"/>
        </w:rPr>
        <w:t>2</w:t>
      </w:r>
      <w:r w:rsidR="00552DDD" w:rsidRPr="00552DDD">
        <w:rPr>
          <w:color w:val="4472C4" w:themeColor="accent1"/>
        </w:rPr>
        <w:fldChar w:fldCharType="end"/>
      </w:r>
      <w:r w:rsidR="00FA2D65">
        <w:t xml:space="preserve">. </w:t>
      </w:r>
      <w:r w:rsidR="009B37FC">
        <w:t xml:space="preserve">Participants had to determine which category </w:t>
      </w:r>
      <w:r w:rsidR="00FA2D65">
        <w:t>an</w:t>
      </w:r>
      <w:r w:rsidR="009B37FC">
        <w:t xml:space="preserve"> expense belonged to, </w:t>
      </w:r>
      <w:r w:rsidR="00FA2D65">
        <w:t xml:space="preserve">look up the code of this category and enter it in the row of the expense. </w:t>
      </w:r>
      <w:r w:rsidR="005F1971">
        <w:t xml:space="preserve">We used expense categories and codes </w:t>
      </w:r>
      <w:r w:rsidR="00D06CE1">
        <w:t xml:space="preserve">that are currently used </w:t>
      </w:r>
      <w:r w:rsidR="003E1874">
        <w:t>by a public university</w:t>
      </w:r>
      <w:r w:rsidR="00676CFA">
        <w:t xml:space="preserve"> to process expenses.</w:t>
      </w:r>
    </w:p>
    <w:p w14:paraId="23345420" w14:textId="1C2DDE60" w:rsidR="00843356" w:rsidRDefault="00843356" w:rsidP="00497E07">
      <w:pPr>
        <w:pStyle w:val="Paragraph"/>
      </w:pPr>
      <w:r>
        <w:t xml:space="preserve">In the example of </w:t>
      </w:r>
      <w:r w:rsidR="006C41C2" w:rsidRPr="006C41C2">
        <w:rPr>
          <w:color w:val="4472C4" w:themeColor="accent1"/>
        </w:rPr>
        <w:fldChar w:fldCharType="begin"/>
      </w:r>
      <w:r w:rsidR="006C41C2" w:rsidRPr="006C41C2">
        <w:rPr>
          <w:color w:val="4472C4" w:themeColor="accent1"/>
        </w:rPr>
        <w:instrText xml:space="preserve"> REF _Ref503269927 \h </w:instrText>
      </w:r>
      <w:r w:rsidR="006C41C2" w:rsidRPr="006C41C2">
        <w:rPr>
          <w:color w:val="4472C4" w:themeColor="accent1"/>
        </w:rPr>
      </w:r>
      <w:r w:rsidR="006C41C2" w:rsidRPr="006C41C2">
        <w:rPr>
          <w:color w:val="4472C4" w:themeColor="accent1"/>
        </w:rPr>
        <w:fldChar w:fldCharType="separate"/>
      </w:r>
      <w:r w:rsidR="006C41C2" w:rsidRPr="006C41C2">
        <w:rPr>
          <w:color w:val="4472C4" w:themeColor="accent1"/>
        </w:rPr>
        <w:t xml:space="preserve">Figure </w:t>
      </w:r>
      <w:r w:rsidR="006C41C2" w:rsidRPr="006C41C2">
        <w:rPr>
          <w:noProof/>
          <w:color w:val="4472C4" w:themeColor="accent1"/>
        </w:rPr>
        <w:t>1</w:t>
      </w:r>
      <w:r w:rsidR="006C41C2" w:rsidRPr="006C41C2">
        <w:rPr>
          <w:color w:val="4472C4" w:themeColor="accent1"/>
        </w:rPr>
        <w:fldChar w:fldCharType="end"/>
      </w:r>
      <w:r w:rsidR="006C41C2">
        <w:rPr>
          <w:color w:val="4472C4" w:themeColor="accent1"/>
        </w:rPr>
        <w:t xml:space="preserve">, </w:t>
      </w:r>
      <w:r>
        <w:t xml:space="preserve">the expense in the top row belongs to the category ‘Postage’ and the participant would have to copy the code 22104 from the expense table into the empty cell of the top row. A code did not occur more than once in a trial. The codes within a trial could be entered in any order. </w:t>
      </w:r>
    </w:p>
    <w:p w14:paraId="5DAE2687" w14:textId="5EDF58B2" w:rsidR="00AB5EE9" w:rsidRDefault="00FA2D65" w:rsidP="00497E07">
      <w:pPr>
        <w:pStyle w:val="Paragraph"/>
      </w:pPr>
      <w:r>
        <w:t>Once the codes of the ten expenses had been entered, participants clicked the Next button</w:t>
      </w:r>
      <w:r w:rsidR="003C01D1">
        <w:t xml:space="preserve"> to go to the next trial and the sheet was filled with ten new expenses. Participants were not alerted to any mistakes and once they had pressed ‘Next’, they could not return to the previous trial to correct any errors. </w:t>
      </w:r>
      <w:r w:rsidR="00374CD4">
        <w:t xml:space="preserve">Participants had to complete one practice trial, and five experimental trials. </w:t>
      </w:r>
      <w:r w:rsidR="00223E47">
        <w:t>The purpose of the</w:t>
      </w:r>
      <w:r w:rsidR="00374CD4">
        <w:t xml:space="preserve"> practice trial was for the </w:t>
      </w:r>
      <w:r w:rsidR="00223E47">
        <w:t>participant</w:t>
      </w:r>
      <w:r w:rsidR="00374CD4">
        <w:t xml:space="preserve"> to get familiar with the task</w:t>
      </w:r>
      <w:r w:rsidR="00223E47">
        <w:t>,</w:t>
      </w:r>
      <w:r w:rsidR="00374CD4">
        <w:t xml:space="preserve"> and the recorded data </w:t>
      </w:r>
      <w:r w:rsidR="004D6CC9">
        <w:t>from</w:t>
      </w:r>
      <w:r w:rsidR="00374CD4">
        <w:t xml:space="preserve"> this trial was excluded </w:t>
      </w:r>
      <w:r w:rsidR="00947F59">
        <w:t>from the analysis.</w:t>
      </w:r>
    </w:p>
    <w:p w14:paraId="449D47F9" w14:textId="44F38A6A" w:rsidR="00907F44" w:rsidRPr="00497E07" w:rsidRDefault="00907F44" w:rsidP="00497E07">
      <w:pPr>
        <w:pStyle w:val="Paragraph"/>
      </w:pPr>
      <w:r>
        <w:t xml:space="preserve">The experiment was conducted in a web browser. In addition to the main task, we implemented a browser notification that appeared when participants in the </w:t>
      </w:r>
      <w:r w:rsidRPr="00907F44">
        <w:rPr>
          <w:i/>
        </w:rPr>
        <w:t>notification</w:t>
      </w:r>
      <w:r>
        <w:t xml:space="preserve"> condition switched away from the data entry window</w:t>
      </w:r>
      <w:r w:rsidR="006E0A9F">
        <w:t xml:space="preserve"> (see</w:t>
      </w:r>
      <w:r w:rsidR="00552DDD">
        <w:rPr>
          <w:color w:val="4472C4" w:themeColor="accent1"/>
        </w:rPr>
        <w:t xml:space="preserve"> </w:t>
      </w:r>
      <w:r w:rsidR="00552DDD" w:rsidRPr="00552DDD">
        <w:rPr>
          <w:color w:val="4472C4" w:themeColor="accent1"/>
        </w:rPr>
        <w:fldChar w:fldCharType="begin"/>
      </w:r>
      <w:r w:rsidR="00552DDD" w:rsidRPr="00552DDD">
        <w:rPr>
          <w:color w:val="4472C4" w:themeColor="accent1"/>
        </w:rPr>
        <w:instrText xml:space="preserve"> REF _Ref503275425 \h </w:instrText>
      </w:r>
      <w:r w:rsidR="00552DDD" w:rsidRPr="00552DDD">
        <w:rPr>
          <w:color w:val="4472C4" w:themeColor="accent1"/>
        </w:rPr>
      </w:r>
      <w:r w:rsidR="00552DDD" w:rsidRPr="00552DDD">
        <w:rPr>
          <w:color w:val="4472C4" w:themeColor="accent1"/>
        </w:rPr>
        <w:fldChar w:fldCharType="separate"/>
      </w:r>
      <w:r w:rsidR="00552DDD" w:rsidRPr="00552DDD">
        <w:rPr>
          <w:color w:val="4472C4" w:themeColor="accent1"/>
        </w:rPr>
        <w:t xml:space="preserve">Figure </w:t>
      </w:r>
      <w:r w:rsidR="00552DDD" w:rsidRPr="00552DDD">
        <w:rPr>
          <w:noProof/>
          <w:color w:val="4472C4" w:themeColor="accent1"/>
        </w:rPr>
        <w:t>3</w:t>
      </w:r>
      <w:r w:rsidR="00552DDD" w:rsidRPr="00552DDD">
        <w:rPr>
          <w:color w:val="4472C4" w:themeColor="accent1"/>
        </w:rPr>
        <w:fldChar w:fldCharType="end"/>
      </w:r>
      <w:r w:rsidR="006E0A9F">
        <w:t>)</w:t>
      </w:r>
      <w:r>
        <w:t>.</w:t>
      </w:r>
      <w:r w:rsidR="00941A0A">
        <w:t xml:space="preserve"> Every time participants switched, a notification appeared at the right-hand corner of their screen that told participants how long on average they go away for when they switch. The notification stayed visible </w:t>
      </w:r>
      <w:r w:rsidR="00C2569A">
        <w:t>for several seconds</w:t>
      </w:r>
      <w:r w:rsidR="008F0DC1">
        <w:t xml:space="preserve"> as set by default by the browser</w:t>
      </w:r>
      <w:r w:rsidR="00941A0A">
        <w:t>, or participants could dismiss the notification themselves</w:t>
      </w:r>
      <w:r w:rsidR="00883555">
        <w:t xml:space="preserve"> by clicking on it</w:t>
      </w:r>
      <w:r w:rsidR="00941A0A">
        <w:t>.</w:t>
      </w:r>
    </w:p>
    <w:p w14:paraId="7D090220" w14:textId="62A006CC" w:rsidR="00AB5EE9" w:rsidRPr="00FF3A76" w:rsidRDefault="00AB5EE9" w:rsidP="00497E07">
      <w:pPr>
        <w:pStyle w:val="Heading2"/>
      </w:pPr>
      <w:r w:rsidRPr="00FF3A76">
        <w:t>Procedure</w:t>
      </w:r>
    </w:p>
    <w:p w14:paraId="7C8756EA" w14:textId="4E11D5E1" w:rsidR="00BC4999" w:rsidRDefault="00240317" w:rsidP="00497E07">
      <w:pPr>
        <w:pStyle w:val="Paragraph"/>
        <w:ind w:firstLine="0"/>
      </w:pPr>
      <w:r>
        <w:t xml:space="preserve">The study was advertised online with a brief description </w:t>
      </w:r>
      <w:r w:rsidR="00FC78A0">
        <w:t xml:space="preserve">and a </w:t>
      </w:r>
      <w:r w:rsidR="008F0DC1">
        <w:t xml:space="preserve">website </w:t>
      </w:r>
      <w:r w:rsidR="00FC78A0">
        <w:t>link to sign up.</w:t>
      </w:r>
      <w:r>
        <w:t xml:space="preserve"> </w:t>
      </w:r>
      <w:r w:rsidR="00DA39B9">
        <w:t>Participants signed up for the experiment by entering their email address</w:t>
      </w:r>
      <w:r w:rsidR="00A93C03">
        <w:t>, and</w:t>
      </w:r>
      <w:r w:rsidR="00DA39B9">
        <w:t xml:space="preserve"> were sent an email with</w:t>
      </w:r>
      <w:r w:rsidR="00246CD8">
        <w:t xml:space="preserve"> </w:t>
      </w:r>
      <w:r w:rsidR="00EB158C">
        <w:t xml:space="preserve">the </w:t>
      </w:r>
      <w:r w:rsidR="00DA39B9">
        <w:t>table of expense</w:t>
      </w:r>
      <w:r w:rsidR="00AA41A6">
        <w:t xml:space="preserve"> categories and expense codes. </w:t>
      </w:r>
      <w:r w:rsidR="00BD0DC5">
        <w:t xml:space="preserve">The </w:t>
      </w:r>
      <w:r w:rsidR="000B2D01">
        <w:t xml:space="preserve">email also included </w:t>
      </w:r>
      <w:r w:rsidR="00BD0DC5">
        <w:t xml:space="preserve">instructions </w:t>
      </w:r>
      <w:r w:rsidR="000B2D01">
        <w:t xml:space="preserve">with </w:t>
      </w:r>
      <w:r w:rsidR="00BD0DC5">
        <w:t xml:space="preserve">a </w:t>
      </w:r>
      <w:r w:rsidR="00FB426E">
        <w:t>new link</w:t>
      </w:r>
      <w:r w:rsidR="00BD0DC5">
        <w:t xml:space="preserve"> where the study was available.</w:t>
      </w:r>
      <w:r w:rsidR="007F078E" w:rsidRPr="007F078E">
        <w:t xml:space="preserve"> </w:t>
      </w:r>
      <w:r w:rsidR="00FB426E">
        <w:t>Participants</w:t>
      </w:r>
      <w:r w:rsidR="00FB426E" w:rsidRPr="00F93E37">
        <w:t xml:space="preserve"> were asked to complete the task o</w:t>
      </w:r>
      <w:r w:rsidR="00FB426E">
        <w:t xml:space="preserve">n a desktop or laptop computer and open the experiment in Google Chrome, Firefox or Safari. </w:t>
      </w:r>
      <w:r w:rsidR="008C4ED7">
        <w:t xml:space="preserve">Participants were </w:t>
      </w:r>
      <w:r w:rsidR="00F96661">
        <w:t>not informed</w:t>
      </w:r>
      <w:r w:rsidR="008C4ED7">
        <w:t xml:space="preserve"> beforehand which cond</w:t>
      </w:r>
      <w:r w:rsidR="00F55BD2">
        <w:t>ition they had been allocated to</w:t>
      </w:r>
      <w:r w:rsidR="002B365E">
        <w:t xml:space="preserve">, and were told the purpose of the study was to </w:t>
      </w:r>
      <w:r w:rsidR="00881E78">
        <w:t>understand</w:t>
      </w:r>
      <w:r w:rsidR="002B365E">
        <w:t xml:space="preserve"> how people perform data entry tasks</w:t>
      </w:r>
      <w:r w:rsidR="008C4ED7">
        <w:t xml:space="preserve">. Participants in the </w:t>
      </w:r>
      <w:r w:rsidR="008C4ED7" w:rsidRPr="00E335D4">
        <w:rPr>
          <w:i/>
        </w:rPr>
        <w:t>notification</w:t>
      </w:r>
      <w:r w:rsidR="008C4ED7">
        <w:t xml:space="preserve"> condition </w:t>
      </w:r>
      <w:r w:rsidR="001B43C4">
        <w:t xml:space="preserve">were </w:t>
      </w:r>
      <w:r w:rsidR="003511F5">
        <w:t>informed</w:t>
      </w:r>
      <w:r w:rsidR="008C4ED7">
        <w:t xml:space="preserve"> that they would </w:t>
      </w:r>
      <w:r w:rsidR="00DC5472">
        <w:t xml:space="preserve">receive </w:t>
      </w:r>
      <w:r w:rsidR="008C4ED7">
        <w:t>notification</w:t>
      </w:r>
      <w:r w:rsidR="00DC5472">
        <w:t>s</w:t>
      </w:r>
      <w:r w:rsidR="008C4ED7">
        <w:t xml:space="preserve"> during the experiment</w:t>
      </w:r>
      <w:r w:rsidR="00BC22D1">
        <w:t xml:space="preserve">. </w:t>
      </w:r>
    </w:p>
    <w:p w14:paraId="1BD5FA31" w14:textId="5E06FDFE" w:rsidR="00A07ED0" w:rsidRDefault="00BC4999" w:rsidP="00E77000">
      <w:pPr>
        <w:pStyle w:val="Paragraph"/>
      </w:pPr>
      <w:r>
        <w:t xml:space="preserve">Participants </w:t>
      </w:r>
      <w:r w:rsidR="002F4A67">
        <w:t xml:space="preserve">first read </w:t>
      </w:r>
      <w:r w:rsidR="00BD0DC5">
        <w:t>an onli</w:t>
      </w:r>
      <w:r w:rsidR="00B06386">
        <w:t>ne consent form</w:t>
      </w:r>
      <w:r w:rsidR="000B2D01">
        <w:t xml:space="preserve"> on the website</w:t>
      </w:r>
      <w:r w:rsidR="00B06386">
        <w:t xml:space="preserve">, and </w:t>
      </w:r>
      <w:r w:rsidR="00AA41A6">
        <w:t>were not ab</w:t>
      </w:r>
      <w:r w:rsidR="0032649E">
        <w:t>le</w:t>
      </w:r>
      <w:r w:rsidR="00AA41A6">
        <w:t xml:space="preserve"> to continue to the experiment until they had </w:t>
      </w:r>
      <w:r w:rsidR="00E77000">
        <w:t>agreed</w:t>
      </w:r>
      <w:r w:rsidR="00AA41A6">
        <w:t xml:space="preserve"> </w:t>
      </w:r>
      <w:r w:rsidR="00E77000">
        <w:t xml:space="preserve">to </w:t>
      </w:r>
      <w:r w:rsidR="00AA41A6">
        <w:t xml:space="preserve">the consent form. </w:t>
      </w:r>
      <w:r w:rsidR="00B06386">
        <w:t>Parti</w:t>
      </w:r>
      <w:r w:rsidR="00641F3F">
        <w:t xml:space="preserve">cipants in the </w:t>
      </w:r>
      <w:r w:rsidR="00641F3F" w:rsidRPr="00AA41A6">
        <w:rPr>
          <w:i/>
        </w:rPr>
        <w:t>notification</w:t>
      </w:r>
      <w:r w:rsidR="00641F3F">
        <w:t xml:space="preserve"> cond</w:t>
      </w:r>
      <w:r w:rsidR="00B06386">
        <w:t xml:space="preserve">ition </w:t>
      </w:r>
      <w:r w:rsidR="0078412B">
        <w:t>received a</w:t>
      </w:r>
      <w:r w:rsidR="003713A3">
        <w:t>n additional</w:t>
      </w:r>
      <w:r w:rsidR="0078412B">
        <w:t xml:space="preserve"> dialog box </w:t>
      </w:r>
      <w:r w:rsidR="00B06386">
        <w:t>to enable notifications in their browser</w:t>
      </w:r>
      <w:r w:rsidR="0078412B">
        <w:t xml:space="preserve">, and had to click </w:t>
      </w:r>
      <w:r w:rsidR="00D347B3">
        <w:t>‘</w:t>
      </w:r>
      <w:r w:rsidR="0078412B">
        <w:t>OK</w:t>
      </w:r>
      <w:r w:rsidR="00D347B3">
        <w:t>’</w:t>
      </w:r>
      <w:r w:rsidR="0078412B">
        <w:t xml:space="preserve"> to continue. </w:t>
      </w:r>
      <w:r w:rsidR="00A07ED0">
        <w:t xml:space="preserve">Participants were instructed to have both their email and </w:t>
      </w:r>
      <w:r w:rsidR="00B519BB">
        <w:t>data entry</w:t>
      </w:r>
      <w:r w:rsidR="00A07ED0">
        <w:t xml:space="preserve"> window open on the same device, and to keep both windows maximised at all time, to ensure they had to switch back and forth between the two windows. Participants who made no recorded switches </w:t>
      </w:r>
      <w:r w:rsidR="00C02FAD">
        <w:t>would be</w:t>
      </w:r>
      <w:r w:rsidR="00A07ED0">
        <w:t xml:space="preserve"> excluded from the dataset. </w:t>
      </w:r>
    </w:p>
    <w:p w14:paraId="4307935C" w14:textId="5FF8E96E" w:rsidR="0093228A" w:rsidRPr="00497E07" w:rsidRDefault="00A95256" w:rsidP="00497E07">
      <w:pPr>
        <w:pStyle w:val="Paragraph"/>
      </w:pPr>
      <w:r>
        <w:t xml:space="preserve">After completing all experimental trials, participants were shown a page of debriefing information, explaining the purpose of the study. </w:t>
      </w:r>
      <w:r w:rsidR="003911D2">
        <w:t>An</w:t>
      </w:r>
      <w:r w:rsidR="00C44442" w:rsidRPr="00C44442">
        <w:t xml:space="preserve"> email address</w:t>
      </w:r>
      <w:r w:rsidR="003911D2">
        <w:t xml:space="preserve"> was included</w:t>
      </w:r>
      <w:r w:rsidR="00C44442" w:rsidRPr="00C44442">
        <w:t xml:space="preserve"> </w:t>
      </w:r>
      <w:r w:rsidR="003911D2">
        <w:t>as a point of</w:t>
      </w:r>
      <w:r w:rsidR="00C44442" w:rsidRPr="00C44442">
        <w:t xml:space="preserve"> </w:t>
      </w:r>
      <w:r w:rsidR="00C44442">
        <w:t xml:space="preserve">contact if </w:t>
      </w:r>
      <w:r w:rsidR="003911D2">
        <w:t>participants</w:t>
      </w:r>
      <w:r w:rsidR="00C44442">
        <w:t xml:space="preserve"> had any further questions.</w:t>
      </w:r>
      <w:r w:rsidR="008C4ED7">
        <w:t xml:space="preserve"> </w:t>
      </w:r>
      <w:r w:rsidR="00FC53CE">
        <w:t>Participants</w:t>
      </w:r>
      <w:r w:rsidR="00243E2C">
        <w:t xml:space="preserve"> took </w:t>
      </w:r>
      <w:r w:rsidR="00FC53CE">
        <w:t xml:space="preserve">between 10 </w:t>
      </w:r>
      <w:r w:rsidR="00647ABE">
        <w:t>and 20</w:t>
      </w:r>
      <w:r w:rsidR="00C345B3">
        <w:t xml:space="preserve"> </w:t>
      </w:r>
      <w:r w:rsidR="00FC53CE">
        <w:t xml:space="preserve">minutes to complete the </w:t>
      </w:r>
      <w:r w:rsidR="00EC6A7A">
        <w:t>experiment</w:t>
      </w:r>
      <w:r w:rsidR="00FC53CE">
        <w:t>.</w:t>
      </w:r>
    </w:p>
    <w:p w14:paraId="14AD0E3C" w14:textId="1DD5FEB0" w:rsidR="0093228A" w:rsidRPr="0007712B" w:rsidRDefault="0093228A" w:rsidP="00497E07">
      <w:pPr>
        <w:pStyle w:val="Heading1"/>
      </w:pPr>
      <w:r w:rsidRPr="0007712B">
        <w:t>Results</w:t>
      </w:r>
    </w:p>
    <w:p w14:paraId="652CF682" w14:textId="60A5AEA9" w:rsidR="002B579D" w:rsidRDefault="001045F1" w:rsidP="001045F1">
      <w:pPr>
        <w:pStyle w:val="Paragraph"/>
        <w:ind w:firstLine="0"/>
      </w:pPr>
      <w:r w:rsidRPr="001045F1">
        <w:rPr>
          <w:color w:val="4472C4" w:themeColor="accent1"/>
        </w:rPr>
        <w:fldChar w:fldCharType="begin"/>
      </w:r>
      <w:r w:rsidRPr="001045F1">
        <w:rPr>
          <w:color w:val="4472C4" w:themeColor="accent1"/>
        </w:rPr>
        <w:instrText xml:space="preserve"> REF _Ref503272422 \h </w:instrText>
      </w:r>
      <w:r w:rsidRPr="001045F1">
        <w:rPr>
          <w:color w:val="4472C4" w:themeColor="accent1"/>
        </w:rPr>
      </w:r>
      <w:r w:rsidRPr="001045F1">
        <w:rPr>
          <w:color w:val="4472C4" w:themeColor="accent1"/>
        </w:rPr>
        <w:fldChar w:fldCharType="separate"/>
      </w:r>
      <w:r w:rsidRPr="001045F1">
        <w:rPr>
          <w:color w:val="4472C4" w:themeColor="accent1"/>
        </w:rPr>
        <w:t xml:space="preserve">Table </w:t>
      </w:r>
      <w:r w:rsidRPr="001045F1">
        <w:rPr>
          <w:noProof/>
          <w:color w:val="4472C4" w:themeColor="accent1"/>
        </w:rPr>
        <w:t>1</w:t>
      </w:r>
      <w:r w:rsidRPr="001045F1">
        <w:rPr>
          <w:color w:val="4472C4" w:themeColor="accent1"/>
        </w:rPr>
        <w:fldChar w:fldCharType="end"/>
      </w:r>
      <w:r w:rsidRPr="001045F1">
        <w:rPr>
          <w:color w:val="4472C4" w:themeColor="accent1"/>
        </w:rPr>
        <w:t xml:space="preserve"> </w:t>
      </w:r>
      <w:r>
        <w:t xml:space="preserve">summarises the results of the conditions in terms </w:t>
      </w:r>
      <w:r w:rsidR="001A7EDB">
        <w:t>of the</w:t>
      </w:r>
      <w:r>
        <w:t xml:space="preserve"> four dependent variables. </w:t>
      </w:r>
      <w:r w:rsidR="006D39A4">
        <w:t xml:space="preserve">The </w:t>
      </w:r>
      <w:r w:rsidR="00113E39">
        <w:t>number</w:t>
      </w:r>
      <w:r w:rsidR="006D39A4">
        <w:t xml:space="preserve"> of switches</w:t>
      </w:r>
      <w:r w:rsidR="00D4088C">
        <w:t xml:space="preserve">, </w:t>
      </w:r>
      <w:r w:rsidR="00113E39">
        <w:t>length</w:t>
      </w:r>
      <w:r w:rsidR="00D4088C">
        <w:t xml:space="preserve"> of switches</w:t>
      </w:r>
      <w:r w:rsidR="006D39A4">
        <w:t xml:space="preserve"> and </w:t>
      </w:r>
      <w:r w:rsidR="00113E39">
        <w:t>the error rate</w:t>
      </w:r>
      <w:r w:rsidR="006D39A4">
        <w:t xml:space="preserve"> were not normally distributed, so </w:t>
      </w:r>
      <w:r w:rsidR="003A1E5C">
        <w:t xml:space="preserve">non-parametric Mann-Whitney tests </w:t>
      </w:r>
      <w:r w:rsidR="00F31698">
        <w:t xml:space="preserve">were used </w:t>
      </w:r>
      <w:r w:rsidR="0053441E">
        <w:t xml:space="preserve">to analyse </w:t>
      </w:r>
      <w:r w:rsidR="00F31698">
        <w:t>effects of a notification on these dependent variables</w:t>
      </w:r>
      <w:r w:rsidR="0053441E">
        <w:t xml:space="preserve">. </w:t>
      </w:r>
      <w:r w:rsidR="006D39A4" w:rsidRPr="006D39A4">
        <w:t xml:space="preserve">A Shapiro–Wilk test suggested that the </w:t>
      </w:r>
      <w:r w:rsidR="006D39A4">
        <w:t xml:space="preserve">trial </w:t>
      </w:r>
      <w:r w:rsidR="00E0394F">
        <w:t xml:space="preserve">completion </w:t>
      </w:r>
      <w:r w:rsidR="006D39A4">
        <w:t>times</w:t>
      </w:r>
      <w:r w:rsidR="006D39A4" w:rsidRPr="006D39A4">
        <w:t xml:space="preserve"> were normally</w:t>
      </w:r>
      <w:r w:rsidR="006D39A4">
        <w:t xml:space="preserve"> distributed, W = 0.94</w:t>
      </w:r>
      <w:r w:rsidR="006D39A4" w:rsidRPr="006D39A4">
        <w:t xml:space="preserve">, p </w:t>
      </w:r>
      <w:r w:rsidR="006D39A4">
        <w:t>= 0.05, so</w:t>
      </w:r>
      <w:r w:rsidR="00FC5151">
        <w:t xml:space="preserve"> a</w:t>
      </w:r>
      <w:r w:rsidR="000F7410">
        <w:t xml:space="preserve">n independent t-test was used to analyse </w:t>
      </w:r>
      <w:r w:rsidR="005A071D">
        <w:t>the effect on trial times</w:t>
      </w:r>
      <w:r w:rsidR="000F7410">
        <w:t xml:space="preserve">. </w:t>
      </w:r>
    </w:p>
    <w:p w14:paraId="62034BF8" w14:textId="032EEFAD" w:rsidR="00D05CB0" w:rsidRDefault="00897B40" w:rsidP="00497E07">
      <w:pPr>
        <w:pStyle w:val="Paragraph"/>
      </w:pPr>
      <w:r w:rsidRPr="00CD27D5">
        <w:rPr>
          <w:color w:val="4472C4" w:themeColor="accent1"/>
        </w:rPr>
        <w:fldChar w:fldCharType="begin"/>
      </w:r>
      <w:r w:rsidRPr="00CD27D5">
        <w:rPr>
          <w:color w:val="4472C4" w:themeColor="accent1"/>
        </w:rPr>
        <w:instrText xml:space="preserve"> REF _Ref503272305 \h </w:instrText>
      </w:r>
      <w:r w:rsidRPr="00CD27D5">
        <w:rPr>
          <w:color w:val="4472C4" w:themeColor="accent1"/>
        </w:rPr>
      </w:r>
      <w:r w:rsidRPr="00CD27D5">
        <w:rPr>
          <w:color w:val="4472C4" w:themeColor="accent1"/>
        </w:rPr>
        <w:fldChar w:fldCharType="separate"/>
      </w:r>
      <w:r w:rsidR="00CD27D5" w:rsidRPr="00CD27D5">
        <w:rPr>
          <w:color w:val="4472C4" w:themeColor="accent1"/>
        </w:rPr>
        <w:t xml:space="preserve">Figure </w:t>
      </w:r>
      <w:r w:rsidR="00CD27D5" w:rsidRPr="00CD27D5">
        <w:rPr>
          <w:noProof/>
          <w:color w:val="4472C4" w:themeColor="accent1"/>
        </w:rPr>
        <w:t>4</w:t>
      </w:r>
      <w:r w:rsidRPr="00CD27D5">
        <w:rPr>
          <w:color w:val="4472C4" w:themeColor="accent1"/>
        </w:rPr>
        <w:fldChar w:fldCharType="end"/>
      </w:r>
      <w:r w:rsidRPr="00897B40">
        <w:rPr>
          <w:color w:val="4472C4" w:themeColor="accent1"/>
        </w:rPr>
        <w:t xml:space="preserve"> </w:t>
      </w:r>
      <w:r>
        <w:t xml:space="preserve">shows the variability of duration of switches for the two conditions. </w:t>
      </w:r>
      <w:r w:rsidR="002B579D" w:rsidRPr="002B579D">
        <w:t xml:space="preserve">Results show that </w:t>
      </w:r>
      <w:r w:rsidR="00D05CB0">
        <w:t xml:space="preserve">switches were significantly </w:t>
      </w:r>
      <w:r w:rsidR="00A870BC">
        <w:t>shorter</w:t>
      </w:r>
      <w:r w:rsidR="00D05CB0">
        <w:t xml:space="preserve"> among participants</w:t>
      </w:r>
      <w:r w:rsidR="002B579D" w:rsidRPr="002B579D">
        <w:t xml:space="preserve"> </w:t>
      </w:r>
      <w:r w:rsidR="00D05CB0">
        <w:t>who</w:t>
      </w:r>
      <w:r w:rsidR="00B402E9">
        <w:t xml:space="preserve"> had </w:t>
      </w:r>
      <w:r w:rsidR="00A870BC">
        <w:t>a</w:t>
      </w:r>
      <w:r w:rsidR="00B402E9">
        <w:t xml:space="preserve"> notification</w:t>
      </w:r>
      <w:r w:rsidR="002B579D" w:rsidRPr="002B579D">
        <w:t xml:space="preserve"> </w:t>
      </w:r>
      <w:r w:rsidR="00A870BC">
        <w:t>(M=4.51s, SD=1</w:t>
      </w:r>
      <w:r w:rsidR="00A870BC" w:rsidRPr="002B579D">
        <w:t>.</w:t>
      </w:r>
      <w:r w:rsidR="00A870BC">
        <w:t>80s)</w:t>
      </w:r>
      <w:r w:rsidR="0018118A">
        <w:t xml:space="preserve"> </w:t>
      </w:r>
      <w:r w:rsidR="00D05CB0">
        <w:t>than among those</w:t>
      </w:r>
      <w:r w:rsidR="00B402E9">
        <w:t xml:space="preserve"> </w:t>
      </w:r>
      <w:r w:rsidR="008B682B">
        <w:t>without a</w:t>
      </w:r>
      <w:r w:rsidR="00B402E9">
        <w:t xml:space="preserve"> notification</w:t>
      </w:r>
      <w:r w:rsidR="00A870BC">
        <w:t xml:space="preserve"> (M=7.11s, SD=3.14</w:t>
      </w:r>
      <w:r w:rsidR="00A870BC" w:rsidRPr="002B579D">
        <w:t>s</w:t>
      </w:r>
      <w:r w:rsidR="00A870BC">
        <w:t>)</w:t>
      </w:r>
      <w:r w:rsidR="00B402E9">
        <w:t xml:space="preserve">, U(17, 15) = </w:t>
      </w:r>
      <w:r w:rsidR="00B402E9" w:rsidRPr="004216F1">
        <w:t>186</w:t>
      </w:r>
      <w:r w:rsidR="00B402E9">
        <w:t>, p = 0.01.</w:t>
      </w:r>
      <w:r w:rsidR="00A44F3D">
        <w:t xml:space="preserve"> </w:t>
      </w:r>
      <w:r w:rsidR="00D125AE">
        <w:t xml:space="preserve">There was no significant difference in number of switches, </w:t>
      </w:r>
      <w:r w:rsidR="00A44F3D">
        <w:t>U(17, 15) =</w:t>
      </w:r>
      <w:r w:rsidR="00A44F3D" w:rsidRPr="008051DC">
        <w:t xml:space="preserve"> </w:t>
      </w:r>
      <w:r w:rsidR="000D0F31">
        <w:t>80</w:t>
      </w:r>
      <w:r w:rsidR="00D125AE">
        <w:t>, p = 0.1</w:t>
      </w:r>
      <w:r w:rsidR="00A44F3D">
        <w:t>.</w:t>
      </w:r>
    </w:p>
    <w:p w14:paraId="42EE25DB" w14:textId="6456DB0F" w:rsidR="00AC7B87" w:rsidRDefault="005B681D" w:rsidP="00497E07">
      <w:pPr>
        <w:pStyle w:val="Paragraph"/>
      </w:pPr>
      <w:r>
        <w:t xml:space="preserve">Error rates were calculated by </w:t>
      </w:r>
      <w:r w:rsidR="00A870BC">
        <w:t>dividing the number of data entry errors divided by error opportunities.</w:t>
      </w:r>
      <w:r w:rsidR="00E84CE6">
        <w:t xml:space="preserve"> </w:t>
      </w:r>
      <w:r w:rsidR="00645260">
        <w:t>The error rates were</w:t>
      </w:r>
      <w:r w:rsidR="00A870BC">
        <w:t xml:space="preserve"> significantly lower</w:t>
      </w:r>
      <w:r w:rsidR="00645260">
        <w:t xml:space="preserve"> for participants </w:t>
      </w:r>
      <w:r w:rsidR="00A870BC">
        <w:t>with</w:t>
      </w:r>
      <w:r w:rsidR="00645260">
        <w:t xml:space="preserve"> a notification (</w:t>
      </w:r>
      <w:r w:rsidR="007B05C6">
        <w:t>M=</w:t>
      </w:r>
      <w:r w:rsidR="00A870BC">
        <w:t>2</w:t>
      </w:r>
      <w:r w:rsidR="007B05C6">
        <w:t>%, SD=</w:t>
      </w:r>
      <w:r w:rsidR="00A870BC">
        <w:t>2</w:t>
      </w:r>
      <w:r w:rsidR="007B05C6">
        <w:t>%</w:t>
      </w:r>
      <w:r w:rsidR="00645260">
        <w:t xml:space="preserve">) compared to participants </w:t>
      </w:r>
      <w:r w:rsidR="00A870BC">
        <w:t>who had no</w:t>
      </w:r>
      <w:r w:rsidR="00645260">
        <w:t xml:space="preserve"> notification (</w:t>
      </w:r>
      <w:r w:rsidR="007B05C6">
        <w:t>M=</w:t>
      </w:r>
      <w:r w:rsidR="00A870BC">
        <w:t>6</w:t>
      </w:r>
      <w:r w:rsidR="007B05C6">
        <w:t>%,</w:t>
      </w:r>
      <w:r w:rsidR="00EE63A9">
        <w:t xml:space="preserve"> </w:t>
      </w:r>
      <w:r w:rsidR="007B05C6">
        <w:t>SD=</w:t>
      </w:r>
      <w:r w:rsidR="00A870BC">
        <w:t>6</w:t>
      </w:r>
      <w:r w:rsidR="007B05C6">
        <w:t>%</w:t>
      </w:r>
      <w:r w:rsidR="00645260">
        <w:t>)</w:t>
      </w:r>
      <w:r w:rsidR="008614C3">
        <w:t>, U(1</w:t>
      </w:r>
      <w:r w:rsidR="00824F8D">
        <w:t>7</w:t>
      </w:r>
      <w:r w:rsidR="008614C3">
        <w:t>, 1</w:t>
      </w:r>
      <w:r w:rsidR="00824F8D">
        <w:t>5</w:t>
      </w:r>
      <w:r w:rsidR="008614C3">
        <w:t xml:space="preserve">) = </w:t>
      </w:r>
      <w:r w:rsidR="008614C3" w:rsidRPr="008614C3">
        <w:t>190</w:t>
      </w:r>
      <w:r w:rsidR="008614C3">
        <w:t>, p</w:t>
      </w:r>
      <w:r w:rsidR="00353AF8">
        <w:t xml:space="preserve"> </w:t>
      </w:r>
      <w:r w:rsidR="008614C3">
        <w:t>&lt;</w:t>
      </w:r>
      <w:r w:rsidR="00353AF8">
        <w:t xml:space="preserve"> </w:t>
      </w:r>
      <w:r w:rsidR="00B0491D">
        <w:t>.0</w:t>
      </w:r>
      <w:r w:rsidR="008614C3">
        <w:t>1</w:t>
      </w:r>
      <w:r w:rsidR="00A44F3D">
        <w:t>.</w:t>
      </w:r>
      <w:r w:rsidR="00645260">
        <w:t xml:space="preserve"> </w:t>
      </w:r>
      <w:r w:rsidR="004E58C3">
        <w:t xml:space="preserve">Participants with a notification were also faster in completing trials </w:t>
      </w:r>
      <w:r w:rsidR="00E05103">
        <w:t>(M=</w:t>
      </w:r>
      <w:r w:rsidR="004E58C3">
        <w:t>94</w:t>
      </w:r>
      <w:r w:rsidR="00E05103">
        <w:t>.</w:t>
      </w:r>
      <w:r w:rsidR="004E58C3">
        <w:t>98s</w:t>
      </w:r>
      <w:r w:rsidR="00E05103">
        <w:t>, SD=</w:t>
      </w:r>
      <w:r w:rsidR="004E58C3">
        <w:t>17</w:t>
      </w:r>
      <w:r w:rsidR="00E05103">
        <w:t>.</w:t>
      </w:r>
      <w:r w:rsidR="004E58C3">
        <w:t>69</w:t>
      </w:r>
      <w:r w:rsidR="00E05103">
        <w:t>s</w:t>
      </w:r>
      <w:r w:rsidR="00E05103" w:rsidRPr="00E05103">
        <w:t>) compared to</w:t>
      </w:r>
      <w:r w:rsidR="00E05103">
        <w:t xml:space="preserve"> participants</w:t>
      </w:r>
      <w:r w:rsidR="00E05103" w:rsidRPr="00E05103">
        <w:t xml:space="preserve"> </w:t>
      </w:r>
      <w:r w:rsidR="00E05103">
        <w:t>without a notification (M=</w:t>
      </w:r>
      <w:r w:rsidR="004E58C3">
        <w:t>122</w:t>
      </w:r>
      <w:r w:rsidR="00E05103">
        <w:t>.9</w:t>
      </w:r>
      <w:r w:rsidR="004E58C3">
        <w:t>0</w:t>
      </w:r>
      <w:r w:rsidR="00E05103">
        <w:t>s, SD=3</w:t>
      </w:r>
      <w:r w:rsidR="004E58C3">
        <w:t>5</w:t>
      </w:r>
      <w:r w:rsidR="00E05103">
        <w:t>.</w:t>
      </w:r>
      <w:r w:rsidR="004E58C3">
        <w:t>43</w:t>
      </w:r>
      <w:r w:rsidR="00797CFE">
        <w:t>s)</w:t>
      </w:r>
      <w:r w:rsidR="00AC7B87" w:rsidRPr="00AC7B87">
        <w:t xml:space="preserve">, </w:t>
      </w:r>
      <w:r w:rsidR="00FB0773">
        <w:t xml:space="preserve">t(30) = </w:t>
      </w:r>
      <w:r w:rsidR="004E58C3">
        <w:t>2</w:t>
      </w:r>
      <w:r w:rsidR="00FB0773" w:rsidRPr="00DB70C0">
        <w:t>.</w:t>
      </w:r>
      <w:r w:rsidR="004E58C3">
        <w:t>96</w:t>
      </w:r>
      <w:r w:rsidR="00FB0773">
        <w:t xml:space="preserve">, p </w:t>
      </w:r>
      <w:r w:rsidR="004E58C3">
        <w:t>&lt; .01</w:t>
      </w:r>
      <w:r w:rsidR="00FB0773">
        <w:t>.</w:t>
      </w:r>
    </w:p>
    <w:p w14:paraId="62824E84" w14:textId="77777777" w:rsidR="00664A30" w:rsidRDefault="00664A30" w:rsidP="00AC7B87">
      <w:pPr>
        <w:spacing w:before="0" w:after="0"/>
        <w:ind w:firstLine="0"/>
        <w:rPr>
          <w:rFonts w:ascii="Helvetica" w:hAnsi="Helvetica"/>
          <w:szCs w:val="22"/>
        </w:rPr>
      </w:pPr>
    </w:p>
    <w:p w14:paraId="268B58BD" w14:textId="2C478BC6" w:rsidR="00F76D45" w:rsidRDefault="00F76D45" w:rsidP="00F76D45">
      <w:pPr>
        <w:pStyle w:val="Caption"/>
        <w:keepNext/>
      </w:pPr>
      <w:bookmarkStart w:id="5" w:name="_Ref503272422"/>
      <w:r>
        <w:t xml:space="preserve">Table </w:t>
      </w:r>
      <w:r w:rsidR="00693D03">
        <w:fldChar w:fldCharType="begin"/>
      </w:r>
      <w:r w:rsidR="00693D03">
        <w:instrText xml:space="preserve"> SEQ Table \* ARABIC </w:instrText>
      </w:r>
      <w:r w:rsidR="00693D03">
        <w:fldChar w:fldCharType="separate"/>
      </w:r>
      <w:r>
        <w:rPr>
          <w:noProof/>
        </w:rPr>
        <w:t>1</w:t>
      </w:r>
      <w:r w:rsidR="00693D03">
        <w:rPr>
          <w:noProof/>
        </w:rPr>
        <w:fldChar w:fldCharType="end"/>
      </w:r>
      <w:bookmarkEnd w:id="5"/>
      <w:r>
        <w:t>. Means and standard deviations of dependent variables for each condition.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664A30" w14:paraId="1992D6B8" w14:textId="77777777" w:rsidTr="00CE1EE1">
        <w:tc>
          <w:tcPr>
            <w:tcW w:w="1802" w:type="dxa"/>
            <w:tcBorders>
              <w:bottom w:val="single" w:sz="4" w:space="0" w:color="auto"/>
              <w:right w:val="nil"/>
            </w:tcBorders>
          </w:tcPr>
          <w:p w14:paraId="15A97E12" w14:textId="57C9976C" w:rsidR="00664A30" w:rsidRDefault="00664A30" w:rsidP="00FF6E4E">
            <w:pPr>
              <w:pStyle w:val="Paragraph"/>
              <w:spacing w:line="264" w:lineRule="auto"/>
              <w:jc w:val="center"/>
            </w:pPr>
            <w:r>
              <w:t>Condition</w:t>
            </w:r>
          </w:p>
        </w:tc>
        <w:tc>
          <w:tcPr>
            <w:tcW w:w="1802" w:type="dxa"/>
            <w:tcBorders>
              <w:left w:val="nil"/>
              <w:bottom w:val="single" w:sz="4" w:space="0" w:color="auto"/>
              <w:right w:val="nil"/>
            </w:tcBorders>
          </w:tcPr>
          <w:p w14:paraId="22563B9A" w14:textId="6BC2FBD3" w:rsidR="00664A30" w:rsidRDefault="00664A30" w:rsidP="00FF6E4E">
            <w:pPr>
              <w:pStyle w:val="Paragraph"/>
              <w:spacing w:line="264" w:lineRule="auto"/>
              <w:jc w:val="center"/>
            </w:pPr>
            <w:r>
              <w:t>Number of switches</w:t>
            </w:r>
          </w:p>
        </w:tc>
        <w:tc>
          <w:tcPr>
            <w:tcW w:w="1802" w:type="dxa"/>
            <w:tcBorders>
              <w:left w:val="nil"/>
              <w:bottom w:val="single" w:sz="4" w:space="0" w:color="auto"/>
              <w:right w:val="nil"/>
            </w:tcBorders>
          </w:tcPr>
          <w:p w14:paraId="61394C39" w14:textId="61556418" w:rsidR="00664A30" w:rsidRDefault="00664A30" w:rsidP="00FF6E4E">
            <w:pPr>
              <w:pStyle w:val="Paragraph"/>
              <w:spacing w:line="264" w:lineRule="auto"/>
              <w:jc w:val="center"/>
            </w:pPr>
            <w:r>
              <w:t>Duration of switches</w:t>
            </w:r>
            <w:r w:rsidR="00E65F42">
              <w:t xml:space="preserve"> (s)</w:t>
            </w:r>
          </w:p>
        </w:tc>
        <w:tc>
          <w:tcPr>
            <w:tcW w:w="1802" w:type="dxa"/>
            <w:tcBorders>
              <w:left w:val="nil"/>
              <w:bottom w:val="single" w:sz="4" w:space="0" w:color="auto"/>
              <w:right w:val="nil"/>
            </w:tcBorders>
          </w:tcPr>
          <w:p w14:paraId="6E2E1945" w14:textId="6E0C3E94" w:rsidR="00664A30" w:rsidRDefault="00664A30" w:rsidP="00FF6E4E">
            <w:pPr>
              <w:pStyle w:val="Paragraph"/>
              <w:spacing w:line="264" w:lineRule="auto"/>
              <w:jc w:val="center"/>
            </w:pPr>
            <w:r>
              <w:t>Error rate</w:t>
            </w:r>
          </w:p>
        </w:tc>
        <w:tc>
          <w:tcPr>
            <w:tcW w:w="1802" w:type="dxa"/>
            <w:tcBorders>
              <w:left w:val="nil"/>
              <w:bottom w:val="single" w:sz="4" w:space="0" w:color="auto"/>
            </w:tcBorders>
          </w:tcPr>
          <w:p w14:paraId="798C61DA" w14:textId="40679895" w:rsidR="00664A30" w:rsidRDefault="00664A30" w:rsidP="00FF6E4E">
            <w:pPr>
              <w:pStyle w:val="Paragraph"/>
              <w:spacing w:line="264" w:lineRule="auto"/>
              <w:jc w:val="center"/>
            </w:pPr>
            <w:r>
              <w:t>Trial completion time</w:t>
            </w:r>
            <w:r w:rsidR="00E65F42">
              <w:t xml:space="preserve"> (s)</w:t>
            </w:r>
          </w:p>
        </w:tc>
      </w:tr>
      <w:tr w:rsidR="00664A30" w14:paraId="5E41B8A9" w14:textId="77777777" w:rsidTr="00CE1EE1">
        <w:tc>
          <w:tcPr>
            <w:tcW w:w="1802" w:type="dxa"/>
            <w:tcBorders>
              <w:bottom w:val="nil"/>
              <w:right w:val="nil"/>
            </w:tcBorders>
          </w:tcPr>
          <w:p w14:paraId="31440153" w14:textId="5E4FD95C" w:rsidR="00664A30" w:rsidRDefault="00664A30" w:rsidP="00FF6E4E">
            <w:pPr>
              <w:pStyle w:val="Paragraph"/>
              <w:spacing w:line="264" w:lineRule="auto"/>
              <w:jc w:val="center"/>
            </w:pPr>
            <w:r>
              <w:t>Control</w:t>
            </w:r>
          </w:p>
        </w:tc>
        <w:tc>
          <w:tcPr>
            <w:tcW w:w="1802" w:type="dxa"/>
            <w:tcBorders>
              <w:left w:val="nil"/>
              <w:bottom w:val="nil"/>
              <w:right w:val="nil"/>
            </w:tcBorders>
          </w:tcPr>
          <w:p w14:paraId="18F394A3" w14:textId="4D762460" w:rsidR="00664A30" w:rsidRDefault="00E65F42" w:rsidP="00FF6E4E">
            <w:pPr>
              <w:pStyle w:val="Paragraph"/>
              <w:spacing w:line="264" w:lineRule="auto"/>
              <w:jc w:val="center"/>
            </w:pPr>
            <w:r>
              <w:t>10.26 (1.29)</w:t>
            </w:r>
          </w:p>
        </w:tc>
        <w:tc>
          <w:tcPr>
            <w:tcW w:w="1802" w:type="dxa"/>
            <w:tcBorders>
              <w:left w:val="nil"/>
              <w:bottom w:val="nil"/>
              <w:right w:val="nil"/>
            </w:tcBorders>
          </w:tcPr>
          <w:p w14:paraId="5399EFA1" w14:textId="23EDD000" w:rsidR="00664A30" w:rsidRDefault="00E65F42" w:rsidP="00FF6E4E">
            <w:pPr>
              <w:pStyle w:val="Paragraph"/>
              <w:spacing w:line="264" w:lineRule="auto"/>
              <w:jc w:val="center"/>
            </w:pPr>
            <w:r>
              <w:t>7.11 (3.14)</w:t>
            </w:r>
          </w:p>
        </w:tc>
        <w:tc>
          <w:tcPr>
            <w:tcW w:w="1802" w:type="dxa"/>
            <w:tcBorders>
              <w:left w:val="nil"/>
              <w:bottom w:val="nil"/>
              <w:right w:val="nil"/>
            </w:tcBorders>
          </w:tcPr>
          <w:p w14:paraId="538AD917" w14:textId="64E3D2CE" w:rsidR="00664A30" w:rsidRDefault="00E65F42" w:rsidP="00FF6E4E">
            <w:pPr>
              <w:pStyle w:val="Paragraph"/>
              <w:spacing w:line="264" w:lineRule="auto"/>
              <w:jc w:val="center"/>
            </w:pPr>
            <w:r>
              <w:t>6% (6%)</w:t>
            </w:r>
          </w:p>
        </w:tc>
        <w:tc>
          <w:tcPr>
            <w:tcW w:w="1802" w:type="dxa"/>
            <w:tcBorders>
              <w:left w:val="nil"/>
              <w:bottom w:val="nil"/>
            </w:tcBorders>
          </w:tcPr>
          <w:p w14:paraId="10B72CE3" w14:textId="33A7AC74" w:rsidR="00664A30" w:rsidRDefault="00CA060F" w:rsidP="00FF6E4E">
            <w:pPr>
              <w:pStyle w:val="Paragraph"/>
              <w:spacing w:line="264" w:lineRule="auto"/>
              <w:jc w:val="center"/>
            </w:pPr>
            <w:r>
              <w:t>122.90</w:t>
            </w:r>
            <w:r w:rsidR="009111A5">
              <w:t xml:space="preserve"> (35.43</w:t>
            </w:r>
            <w:r w:rsidR="00E65F42">
              <w:t>)</w:t>
            </w:r>
          </w:p>
        </w:tc>
      </w:tr>
      <w:tr w:rsidR="00664A30" w14:paraId="030AFE47" w14:textId="77777777" w:rsidTr="00CE1EE1">
        <w:tc>
          <w:tcPr>
            <w:tcW w:w="1802" w:type="dxa"/>
            <w:tcBorders>
              <w:top w:val="nil"/>
              <w:right w:val="nil"/>
            </w:tcBorders>
          </w:tcPr>
          <w:p w14:paraId="1A560E14" w14:textId="38528E5E" w:rsidR="00664A30" w:rsidRDefault="00664A30" w:rsidP="00FF6E4E">
            <w:pPr>
              <w:pStyle w:val="Paragraph"/>
              <w:spacing w:line="264" w:lineRule="auto"/>
              <w:jc w:val="center"/>
            </w:pPr>
            <w:r>
              <w:t>Notification</w:t>
            </w:r>
          </w:p>
        </w:tc>
        <w:tc>
          <w:tcPr>
            <w:tcW w:w="1802" w:type="dxa"/>
            <w:tcBorders>
              <w:top w:val="nil"/>
              <w:left w:val="nil"/>
              <w:right w:val="nil"/>
            </w:tcBorders>
          </w:tcPr>
          <w:p w14:paraId="7266D135" w14:textId="0B6AB7DD" w:rsidR="00664A30" w:rsidRDefault="00276C8C" w:rsidP="00FF6E4E">
            <w:pPr>
              <w:pStyle w:val="Paragraph"/>
              <w:spacing w:line="264" w:lineRule="auto"/>
              <w:jc w:val="center"/>
            </w:pPr>
            <w:r>
              <w:t>10.80 (1.60</w:t>
            </w:r>
            <w:r w:rsidR="00E65F42">
              <w:t>)</w:t>
            </w:r>
          </w:p>
        </w:tc>
        <w:tc>
          <w:tcPr>
            <w:tcW w:w="1802" w:type="dxa"/>
            <w:tcBorders>
              <w:top w:val="nil"/>
              <w:left w:val="nil"/>
              <w:right w:val="nil"/>
            </w:tcBorders>
          </w:tcPr>
          <w:p w14:paraId="6D74C414" w14:textId="75515D53" w:rsidR="00664A30" w:rsidRDefault="00E65F42" w:rsidP="00FF6E4E">
            <w:pPr>
              <w:pStyle w:val="Paragraph"/>
              <w:spacing w:line="264" w:lineRule="auto"/>
              <w:jc w:val="center"/>
            </w:pPr>
            <w:r>
              <w:t>4.51 (1.80)</w:t>
            </w:r>
          </w:p>
        </w:tc>
        <w:tc>
          <w:tcPr>
            <w:tcW w:w="1802" w:type="dxa"/>
            <w:tcBorders>
              <w:top w:val="nil"/>
              <w:left w:val="nil"/>
              <w:right w:val="nil"/>
            </w:tcBorders>
          </w:tcPr>
          <w:p w14:paraId="33932DC6" w14:textId="131B237F" w:rsidR="00664A30" w:rsidRDefault="00E65F42" w:rsidP="00FF6E4E">
            <w:pPr>
              <w:pStyle w:val="Paragraph"/>
              <w:spacing w:line="264" w:lineRule="auto"/>
              <w:jc w:val="center"/>
            </w:pPr>
            <w:r>
              <w:t>2% (2%)</w:t>
            </w:r>
          </w:p>
        </w:tc>
        <w:tc>
          <w:tcPr>
            <w:tcW w:w="1802" w:type="dxa"/>
            <w:tcBorders>
              <w:top w:val="nil"/>
              <w:left w:val="nil"/>
            </w:tcBorders>
          </w:tcPr>
          <w:p w14:paraId="304FDE2C" w14:textId="6FA004A6" w:rsidR="00664A30" w:rsidRDefault="009111A5" w:rsidP="00FF6E4E">
            <w:pPr>
              <w:pStyle w:val="Paragraph"/>
              <w:spacing w:line="264" w:lineRule="auto"/>
              <w:jc w:val="center"/>
            </w:pPr>
            <w:r>
              <w:t>94</w:t>
            </w:r>
            <w:r w:rsidR="00E65F42">
              <w:t>.</w:t>
            </w:r>
            <w:r>
              <w:t>98</w:t>
            </w:r>
            <w:r w:rsidR="00E65F42">
              <w:t xml:space="preserve"> (</w:t>
            </w:r>
            <w:r>
              <w:t>17</w:t>
            </w:r>
            <w:r w:rsidR="00E65F42">
              <w:t>.</w:t>
            </w:r>
            <w:r>
              <w:t>69</w:t>
            </w:r>
            <w:r w:rsidR="00E65F42">
              <w:t>)</w:t>
            </w:r>
          </w:p>
        </w:tc>
      </w:tr>
    </w:tbl>
    <w:p w14:paraId="5E242A01" w14:textId="77777777" w:rsidR="0026285E" w:rsidRDefault="00FB0C62" w:rsidP="007C08EA">
      <w:pPr>
        <w:jc w:val="center"/>
      </w:pPr>
      <w:r>
        <w:rPr>
          <w:noProof/>
          <w:lang w:eastAsia="en-GB"/>
        </w:rPr>
        <w:drawing>
          <wp:inline distT="0" distB="0" distL="0" distR="0" wp14:anchorId="4C3C117B" wp14:editId="696EC59E">
            <wp:extent cx="3251835" cy="2017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durVisits.png"/>
                    <pic:cNvPicPr/>
                  </pic:nvPicPr>
                  <pic:blipFill>
                    <a:blip r:embed="rId9">
                      <a:extLst>
                        <a:ext uri="{28A0092B-C50C-407E-A947-70E740481C1C}">
                          <a14:useLocalDpi xmlns:a14="http://schemas.microsoft.com/office/drawing/2010/main" val="0"/>
                        </a:ext>
                      </a:extLst>
                    </a:blip>
                    <a:stretch>
                      <a:fillRect/>
                    </a:stretch>
                  </pic:blipFill>
                  <pic:spPr>
                    <a:xfrm>
                      <a:off x="0" y="0"/>
                      <a:ext cx="3265933" cy="2026182"/>
                    </a:xfrm>
                    <a:prstGeom prst="rect">
                      <a:avLst/>
                    </a:prstGeom>
                  </pic:spPr>
                </pic:pic>
              </a:graphicData>
            </a:graphic>
          </wp:inline>
        </w:drawing>
      </w:r>
    </w:p>
    <w:p w14:paraId="4812C292" w14:textId="78590C9D" w:rsidR="00FB0C62" w:rsidRDefault="0026285E" w:rsidP="0026285E">
      <w:pPr>
        <w:pStyle w:val="Caption"/>
      </w:pPr>
      <w:bookmarkStart w:id="6" w:name="_Ref503272305"/>
      <w:r>
        <w:t xml:space="preserve">Figure </w:t>
      </w:r>
      <w:r w:rsidR="00693D03">
        <w:fldChar w:fldCharType="begin"/>
      </w:r>
      <w:r w:rsidR="00693D03">
        <w:instrText xml:space="preserve"> SEQ Figure \* ARABIC </w:instrText>
      </w:r>
      <w:r w:rsidR="00693D03">
        <w:fldChar w:fldCharType="separate"/>
      </w:r>
      <w:r w:rsidR="00F44890">
        <w:rPr>
          <w:noProof/>
        </w:rPr>
        <w:t>4</w:t>
      </w:r>
      <w:r w:rsidR="00693D03">
        <w:rPr>
          <w:noProof/>
        </w:rPr>
        <w:fldChar w:fldCharType="end"/>
      </w:r>
      <w:bookmarkEnd w:id="6"/>
      <w:r>
        <w:t>. Boxplot of duration of switches away from the data entry interface in each condition.</w:t>
      </w:r>
    </w:p>
    <w:p w14:paraId="1C200F80" w14:textId="098EDF87" w:rsidR="00664050" w:rsidRPr="0007712B" w:rsidRDefault="00664050" w:rsidP="00497E07">
      <w:pPr>
        <w:pStyle w:val="Heading1"/>
      </w:pPr>
      <w:r w:rsidRPr="0007712B">
        <w:t>Discussion</w:t>
      </w:r>
    </w:p>
    <w:p w14:paraId="36F18AFD" w14:textId="764DFE34" w:rsidR="005303D7" w:rsidRPr="0011224F" w:rsidRDefault="00F4416B" w:rsidP="00497E07">
      <w:pPr>
        <w:pStyle w:val="Paragraph"/>
        <w:ind w:firstLine="0"/>
      </w:pPr>
      <w:r w:rsidRPr="0011224F">
        <w:t>The aim of</w:t>
      </w:r>
      <w:r w:rsidR="00D13A68" w:rsidRPr="0011224F">
        <w:t xml:space="preserve"> this study was to see whether</w:t>
      </w:r>
      <w:r w:rsidR="00AA05D5" w:rsidRPr="0011224F">
        <w:t xml:space="preserve"> showing people how long they switch on average </w:t>
      </w:r>
      <w:r w:rsidR="005303D7" w:rsidRPr="0011224F">
        <w:t xml:space="preserve">reduces the number and </w:t>
      </w:r>
      <w:r w:rsidR="009E549D" w:rsidRPr="0011224F">
        <w:t>length</w:t>
      </w:r>
      <w:r w:rsidR="005303D7" w:rsidRPr="0011224F">
        <w:t xml:space="preserve"> of their switches. </w:t>
      </w:r>
      <w:r w:rsidR="00AA05D5" w:rsidRPr="0011224F">
        <w:t xml:space="preserve">The results show that </w:t>
      </w:r>
      <w:r w:rsidR="005303D7" w:rsidRPr="0011224F">
        <w:t xml:space="preserve">people </w:t>
      </w:r>
      <w:r w:rsidR="000F56DA" w:rsidRPr="0011224F">
        <w:t xml:space="preserve">can </w:t>
      </w:r>
      <w:r w:rsidR="005303D7" w:rsidRPr="0011224F">
        <w:t xml:space="preserve">benefit from receiving </w:t>
      </w:r>
      <w:r w:rsidR="000F56DA" w:rsidRPr="0011224F">
        <w:t xml:space="preserve">feedback on the </w:t>
      </w:r>
      <w:r w:rsidR="007F14A2" w:rsidRPr="0011224F">
        <w:t>length</w:t>
      </w:r>
      <w:r w:rsidR="000F56DA" w:rsidRPr="0011224F">
        <w:t xml:space="preserve"> of their switches: participants made shorter </w:t>
      </w:r>
      <w:r w:rsidR="00973CD2" w:rsidRPr="0011224F">
        <w:t>switches</w:t>
      </w:r>
      <w:r w:rsidR="00A95328" w:rsidRPr="0011224F">
        <w:t>,</w:t>
      </w:r>
      <w:r w:rsidR="002600EE" w:rsidRPr="0011224F">
        <w:t xml:space="preserve"> were faster to complete the task,</w:t>
      </w:r>
      <w:r w:rsidR="000F56DA" w:rsidRPr="0011224F">
        <w:t xml:space="preserve"> </w:t>
      </w:r>
      <w:r w:rsidR="007131AB" w:rsidRPr="0011224F">
        <w:t xml:space="preserve">and </w:t>
      </w:r>
      <w:r w:rsidR="00482ABC" w:rsidRPr="0011224F">
        <w:t xml:space="preserve">made </w:t>
      </w:r>
      <w:r w:rsidR="007131AB" w:rsidRPr="0011224F">
        <w:t xml:space="preserve">fewer errors. </w:t>
      </w:r>
      <w:r w:rsidR="00635E77" w:rsidRPr="0011224F">
        <w:t xml:space="preserve">These </w:t>
      </w:r>
      <w:r w:rsidR="00331970" w:rsidRPr="0011224F">
        <w:t xml:space="preserve">findings </w:t>
      </w:r>
      <w:r w:rsidR="00635E77" w:rsidRPr="0011224F">
        <w:t>suggest that shorter</w:t>
      </w:r>
      <w:r w:rsidR="00B83786" w:rsidRPr="0011224F">
        <w:t xml:space="preserve"> switches can lead to </w:t>
      </w:r>
      <w:r w:rsidR="00635E77" w:rsidRPr="0011224F">
        <w:t xml:space="preserve">better </w:t>
      </w:r>
      <w:r w:rsidR="00B83786" w:rsidRPr="0011224F">
        <w:t xml:space="preserve">task </w:t>
      </w:r>
      <w:r w:rsidR="00635E77" w:rsidRPr="0011224F">
        <w:t xml:space="preserve">performance, </w:t>
      </w:r>
      <w:r w:rsidR="00331970" w:rsidRPr="0011224F">
        <w:t xml:space="preserve">and </w:t>
      </w:r>
      <w:r w:rsidR="00635E77" w:rsidRPr="0011224F">
        <w:t>are in</w:t>
      </w:r>
      <w:r w:rsidR="00DF69A5" w:rsidRPr="0011224F">
        <w:t xml:space="preserve"> line with</w:t>
      </w:r>
      <w:r w:rsidR="004D303D" w:rsidRPr="0011224F">
        <w:t xml:space="preserve"> previous studies connecting the duration of an interruption t</w:t>
      </w:r>
      <w:r w:rsidR="000B6E2B" w:rsidRPr="0011224F">
        <w:t xml:space="preserve">o its </w:t>
      </w:r>
      <w:r w:rsidR="00585633" w:rsidRPr="0011224F">
        <w:t>di</w:t>
      </w:r>
      <w:r w:rsidR="006F2014" w:rsidRPr="0011224F">
        <w:t>sruptiveness</w:t>
      </w:r>
      <w:r w:rsidR="00B640EE" w:rsidRPr="0011224F">
        <w:t xml:space="preserve"> </w:t>
      </w:r>
      <w:r w:rsidR="00B640EE" w:rsidRPr="0011224F">
        <w:fldChar w:fldCharType="begin" w:fldLock="1"/>
      </w:r>
      <w:r w:rsidR="00B640EE" w:rsidRPr="0011224F">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"issued" : { "date-parts" : [ [ "2017" ] ] }, "title" : "Effects of Interruption Length on Procedural Errors", "type" : "article-journal" }, "uris" : [ "http://www.mendeley.com/documents/?uuid=e3a14320-1225-374e-91f2-bc887b065bcf"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"(Altmann et al., 2017; Monk et al., 2008)", "plainTextFormattedCitation" : "(Altmann et al., 2017; Monk et al., 2008)", "previouslyFormattedCitation" : "(Altmann et al., 2017; Monk et al., 2008)" }, "properties" : {  }, "schema" : "https://github.com/citation-style-language/schema/raw/master/csl-citation.json" }</w:instrText>
      </w:r>
      <w:r w:rsidR="00B640EE" w:rsidRPr="0011224F">
        <w:fldChar w:fldCharType="separate"/>
      </w:r>
      <w:r w:rsidR="00B640EE" w:rsidRPr="0011224F">
        <w:rPr>
          <w:noProof/>
        </w:rPr>
        <w:t>(Altmann et al., 2017; Monk et al., 2008)</w:t>
      </w:r>
      <w:r w:rsidR="00B640EE" w:rsidRPr="0011224F">
        <w:fldChar w:fldCharType="end"/>
      </w:r>
      <w:r w:rsidR="00B83786" w:rsidRPr="0011224F">
        <w:t>.</w:t>
      </w:r>
    </w:p>
    <w:p w14:paraId="3AEAD315" w14:textId="2B50C83A" w:rsidR="00EB38B6" w:rsidRPr="0011224F" w:rsidRDefault="00331970" w:rsidP="00497E07">
      <w:pPr>
        <w:pStyle w:val="Paragraph"/>
      </w:pPr>
      <w:r w:rsidRPr="0011224F">
        <w:t>Nevertheless, as</w:t>
      </w:r>
      <w:r w:rsidR="007759B1" w:rsidRPr="0011224F">
        <w:t xml:space="preserve"> </w:t>
      </w:r>
      <w:r w:rsidR="00D23636" w:rsidRPr="0011224F">
        <w:t>even short interruptions can have a negative effect on performance</w:t>
      </w:r>
      <w:r w:rsidR="00B640EE" w:rsidRPr="0011224F">
        <w:t xml:space="preserve"> </w:t>
      </w:r>
      <w:r w:rsidR="001C795B" w:rsidRPr="0011224F">
        <w:fldChar w:fldCharType="begin" w:fldLock="1"/>
      </w:r>
      <w:r w:rsidR="001C795B" w:rsidRPr="0011224F">
        <w:instrText>ADDIN CSL_CITATION { "citationItems" : [ { "id" : "ITEM-1", "itemData" : { "DOI" : "10.1037/a0030986", "ISBN" : "1939-2222 (Electronic)\\r0022-1015 (Linking)", "ISSN" : "00963445", "PMID" : "23294345", "abstract" : "We investigated the effect of short interruptions on performance of a task that required participants to maintain their place in a sequence of steps each with their own performance requirements. Interruptions averaging 4.4 s long tripled the rate of sequence errors on post-interruption trials relative to baseline trials. Interruptions averaging 2.8 s long--about the time to perform a step in the interrupted task--doubled the rate of sequence errors. Nonsequence errors showed no interruption effects, suggesting that global attentional processes were not disrupted. Response latencies showed smaller interruption effects than sequence errors, a difference we interpret in terms of high levels of interference generated by the primary task. The results are consistent with an account in which activation spreading from the focus of attention allows control processes to navigate task-relevant representations and in which momentary interruptions are disruptive because they shift the focus and thereby cut off the flow.",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General", "id" : "ITEM-1", "issue" : "1", "issued" : { "date-parts" : [ [ "2014" ] ] }, "page" : "215-226", "title" : "Momentary interruptions can derail the train of thought", "type" : "article-journal", "volume" : "143" }, "uris" : [ "http://www.mendeley.com/documents/?uuid=a4216c87-822f-4e2e-8dca-e3c1aaabdfe0" ] } ], "mendeley" : { "formattedCitation" : "(Altmann, Trafton, &amp; Hambrick, 2014)", "plainTextFormattedCitation" : "(Altmann, Trafton, &amp; Hambrick, 2014)", "previouslyFormattedCitation" : "(Altmann, Trafton, &amp; Hambrick, 2014)" }, "properties" : {  }, "schema" : "https://github.com/citation-style-language/schema/raw/master/csl-citation.json" }</w:instrText>
      </w:r>
      <w:r w:rsidR="001C795B" w:rsidRPr="0011224F">
        <w:fldChar w:fldCharType="separate"/>
      </w:r>
      <w:r w:rsidR="001C795B" w:rsidRPr="0011224F">
        <w:rPr>
          <w:noProof/>
        </w:rPr>
        <w:t>(Altmann, Trafton, &amp; Hambrick, 2014)</w:t>
      </w:r>
      <w:r w:rsidR="001C795B" w:rsidRPr="0011224F">
        <w:fldChar w:fldCharType="end"/>
      </w:r>
      <w:r w:rsidR="001C795B" w:rsidRPr="0011224F">
        <w:t xml:space="preserve">, </w:t>
      </w:r>
      <w:r w:rsidR="007759B1" w:rsidRPr="0011224F">
        <w:t xml:space="preserve">we were also </w:t>
      </w:r>
      <w:r w:rsidR="00CD0315" w:rsidRPr="0011224F">
        <w:t>curious as to</w:t>
      </w:r>
      <w:r w:rsidR="007578EA" w:rsidRPr="0011224F">
        <w:t xml:space="preserve"> </w:t>
      </w:r>
      <w:r w:rsidR="007759B1" w:rsidRPr="0011224F">
        <w:t xml:space="preserve">whether the number of switches could be reduced. </w:t>
      </w:r>
      <w:r w:rsidR="00AA05D5" w:rsidRPr="0011224F">
        <w:t xml:space="preserve">Interestingly, </w:t>
      </w:r>
      <w:r w:rsidR="00161C32" w:rsidRPr="0011224F">
        <w:t>feedback on switching duration</w:t>
      </w:r>
      <w:r w:rsidR="008A1EC2" w:rsidRPr="0011224F">
        <w:t xml:space="preserve"> did not reduce the number of switches</w:t>
      </w:r>
      <w:r w:rsidR="00EB38B6" w:rsidRPr="0011224F">
        <w:t xml:space="preserve"> as in prior work</w:t>
      </w:r>
      <w:r w:rsidR="001C795B" w:rsidRPr="0011224F">
        <w:t xml:space="preserve"> </w:t>
      </w:r>
      <w:r w:rsidR="001C795B" w:rsidRPr="0011224F">
        <w:fldChar w:fldCharType="begin" w:fldLock="1"/>
      </w:r>
      <w:r w:rsidR="001C795B" w:rsidRPr="0011224F">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"id" : "ITEM-1", "issue" : "3", "issued" : { "date-parts" : [ [ "2016" ] ] }, "page" : "1-27", "title" : "Diminished Control in Crowdsourcing: An Investigation of Crowdworker Multitasking Behavior  ", "type" : "article-journal", "volume" : "23" }, "uris" : [ "http://www.mendeley.com/documents/?uuid=ca9f9432-c750-4dd2-9733-644b4507b50a" ] } ], "mendeley" : { "formattedCitation" : "(Gould et al., 2016)", "plainTextFormattedCitation" : "(Gould et al., 2016)", "previouslyFormattedCitation" : "(Gould et al., 2016)" }, "properties" : {  }, "schema" : "https://github.com/citation-style-language/schema/raw/master/csl-citation.json" }</w:instrText>
      </w:r>
      <w:r w:rsidR="001C795B" w:rsidRPr="0011224F">
        <w:fldChar w:fldCharType="separate"/>
      </w:r>
      <w:r w:rsidR="001C795B" w:rsidRPr="0011224F">
        <w:rPr>
          <w:noProof/>
        </w:rPr>
        <w:t>(Gould et al., 2016)</w:t>
      </w:r>
      <w:r w:rsidR="001C795B" w:rsidRPr="0011224F">
        <w:fldChar w:fldCharType="end"/>
      </w:r>
      <w:r w:rsidR="00FD06BA" w:rsidRPr="0011224F">
        <w:t>. This could</w:t>
      </w:r>
      <w:r w:rsidR="00865C8B" w:rsidRPr="0011224F">
        <w:t xml:space="preserve"> be explained</w:t>
      </w:r>
      <w:r w:rsidR="00214F32" w:rsidRPr="0011224F">
        <w:t xml:space="preserve"> by the moment </w:t>
      </w:r>
      <w:r w:rsidR="007A29F9" w:rsidRPr="0011224F">
        <w:t xml:space="preserve">in the task </w:t>
      </w:r>
      <w:r w:rsidR="00214F32" w:rsidRPr="0011224F">
        <w:t xml:space="preserve">that </w:t>
      </w:r>
      <w:r w:rsidR="007A29F9" w:rsidRPr="0011224F">
        <w:t xml:space="preserve">people received feedback. </w:t>
      </w:r>
      <w:r w:rsidR="00EB38B6" w:rsidRPr="0011224F">
        <w:t>I</w:t>
      </w:r>
      <w:r w:rsidR="00DE084A" w:rsidRPr="0011224F">
        <w:t>n Gould et al.’s study</w:t>
      </w:r>
      <w:r w:rsidR="00EB38B6" w:rsidRPr="0011224F">
        <w:t>,</w:t>
      </w:r>
      <w:r w:rsidR="00D852EE" w:rsidRPr="0011224F">
        <w:t xml:space="preserve"> </w:t>
      </w:r>
      <w:r w:rsidR="007A29F9" w:rsidRPr="0011224F">
        <w:t xml:space="preserve">feedback </w:t>
      </w:r>
      <w:r w:rsidR="00C96B55" w:rsidRPr="0011224F">
        <w:t xml:space="preserve">appeared </w:t>
      </w:r>
      <w:r w:rsidR="007A29F9" w:rsidRPr="0011224F">
        <w:t xml:space="preserve">after </w:t>
      </w:r>
      <w:r w:rsidR="007A29F9" w:rsidRPr="0011224F">
        <w:rPr>
          <w:i/>
        </w:rPr>
        <w:t>every</w:t>
      </w:r>
      <w:r w:rsidR="007A29F9" w:rsidRPr="0011224F">
        <w:t xml:space="preserve"> </w:t>
      </w:r>
      <w:r w:rsidR="007A29F9" w:rsidRPr="0011224F">
        <w:rPr>
          <w:i/>
        </w:rPr>
        <w:t>switch.</w:t>
      </w:r>
      <w:r w:rsidR="007A29F9" w:rsidRPr="0011224F">
        <w:t xml:space="preserve"> </w:t>
      </w:r>
      <w:r w:rsidR="00C96B55" w:rsidRPr="0011224F">
        <w:t>Participants</w:t>
      </w:r>
      <w:r w:rsidR="001B30B8" w:rsidRPr="0011224F">
        <w:t xml:space="preserve"> may have tried to </w:t>
      </w:r>
      <w:r w:rsidR="00D41E76" w:rsidRPr="0011224F">
        <w:t>reduce s</w:t>
      </w:r>
      <w:r w:rsidR="007F7882" w:rsidRPr="0011224F">
        <w:t xml:space="preserve">witches, either because they were more aware of every switch or because they wanted to </w:t>
      </w:r>
      <w:r w:rsidR="001B30B8" w:rsidRPr="0011224F">
        <w:t>avoid the message</w:t>
      </w:r>
      <w:r w:rsidR="00D41E76" w:rsidRPr="0011224F">
        <w:t xml:space="preserve">. </w:t>
      </w:r>
      <w:r w:rsidR="001B30B8" w:rsidRPr="0011224F">
        <w:t xml:space="preserve">In </w:t>
      </w:r>
      <w:r w:rsidR="006F2014" w:rsidRPr="0011224F">
        <w:t xml:space="preserve">contrast to our study, </w:t>
      </w:r>
      <w:r w:rsidR="000C14E6" w:rsidRPr="0011224F">
        <w:t xml:space="preserve">their </w:t>
      </w:r>
      <w:r w:rsidR="006F2014" w:rsidRPr="0011224F">
        <w:t>p</w:t>
      </w:r>
      <w:r w:rsidR="007A29F9" w:rsidRPr="0011224F">
        <w:t xml:space="preserve">articipants were not supposed to switch, so the number of switches was lower. </w:t>
      </w:r>
      <w:r w:rsidR="006F2014" w:rsidRPr="0011224F">
        <w:t>In</w:t>
      </w:r>
      <w:r w:rsidR="00865C8B" w:rsidRPr="0011224F">
        <w:t xml:space="preserve"> our study </w:t>
      </w:r>
      <w:r w:rsidR="00EB38B6" w:rsidRPr="0011224F">
        <w:t xml:space="preserve">participants </w:t>
      </w:r>
      <w:r w:rsidR="00522E6F" w:rsidRPr="0011224F">
        <w:t>were switching more often as they had</w:t>
      </w:r>
      <w:r w:rsidR="00214F32" w:rsidRPr="0011224F">
        <w:t xml:space="preserve"> to as part of the task</w:t>
      </w:r>
      <w:r w:rsidR="00522E6F" w:rsidRPr="0011224F">
        <w:t xml:space="preserve">: </w:t>
      </w:r>
      <w:r w:rsidR="006F2014" w:rsidRPr="0011224F">
        <w:t>on average</w:t>
      </w:r>
      <w:r w:rsidR="001A64E8" w:rsidRPr="0011224F">
        <w:t>,</w:t>
      </w:r>
      <w:r w:rsidR="00522E6F" w:rsidRPr="0011224F">
        <w:t xml:space="preserve"> they</w:t>
      </w:r>
      <w:r w:rsidR="006F2014" w:rsidRPr="0011224F">
        <w:t xml:space="preserve"> switched once for every data entry</w:t>
      </w:r>
      <w:r w:rsidR="00522E6F" w:rsidRPr="0011224F">
        <w:t xml:space="preserve"> (i.e., ten times per trial)</w:t>
      </w:r>
      <w:r w:rsidR="00214F32" w:rsidRPr="0011224F">
        <w:t>. G</w:t>
      </w:r>
      <w:r w:rsidR="00EB38B6" w:rsidRPr="0011224F">
        <w:t xml:space="preserve">iving notifications </w:t>
      </w:r>
      <w:r w:rsidR="00865C8B" w:rsidRPr="0011224F">
        <w:t>at</w:t>
      </w:r>
      <w:r w:rsidR="00EB38B6" w:rsidRPr="0011224F">
        <w:t xml:space="preserve"> every switch would have had the risk of overexposing </w:t>
      </w:r>
      <w:r w:rsidR="00865C8B" w:rsidRPr="0011224F">
        <w:t xml:space="preserve">participants to </w:t>
      </w:r>
      <w:r w:rsidR="00EB38B6" w:rsidRPr="0011224F">
        <w:t>notifications and limiting its usefulness</w:t>
      </w:r>
      <w:r w:rsidR="001C795B" w:rsidRPr="0011224F">
        <w:t xml:space="preserve"> </w:t>
      </w:r>
      <w:r w:rsidR="001C795B" w:rsidRPr="0011224F">
        <w:fldChar w:fldCharType="begin" w:fldLock="1"/>
      </w:r>
      <w:r w:rsidR="0021615C" w:rsidRPr="0011224F">
        <w:instrText>ADDIN CSL_CITATION { "citationItems" : [ { "id" : "ITEM-1", "itemData" : { "abstract" : "We describe a study on the influence of instant messaging (IM) on ongoing computing tasks. The study both replicates and extends earlier work on the cost of sending notifications at different times and the sensitivity of different tasks to interruption. We investigate alternative hypotheses about the nature of disruption for a list evaluation task, an activity identified as being particularly costly to interrupt. Our findings once again show the generally disruptive effects of IM, especially during fast, stimulus-driven search tasks. In addition, we show that interruptions coming early during a search task are more likely to result in the user forgetting the primary task goal than interruptions that arrive later on. These findings have implications for the design of user interfaces and notification policies that minimize the disruptiveness of notifications.", "author" : [ { "dropping-particle" : "", "family" : "Cutrell", "given" : "Edward", "non-dropping-particle" : "", "parse-names" : false, "suffix" : "" }, { "dropping-particle" : "", "family" : "Czerwinski", "given" : "Mary", "non-dropping-particle" : "", "parse-names" : false, "suffix" : "" }, { "dropping-particle" : "", "family" : "Horvitz", "given" : "Eric", "non-dropping-particle" : "", "parse-names" : false, "suffix" : "" } ], "container-title" : "Proceedings of INTERACT 2001", "id" : "ITEM-1", "issued" : { "date-parts" : [ [ "2001" ] ] }, "page" : "263-269", "publisher" : "Springer", "publisher-place" : "New York, NY, USA", "title" : "Notification, Disruption, and Memory: Effects of Messaging Interruptions on Memory and Performance", "type" : "paper-conference" }, "uris" : [ "http://www.mendeley.com/documents/?uuid=b81be6dd-84a0-34c8-8107-0bebd3992ed6"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"Proceedings of the SIGCHI Conference on Human Factors in Computing Systems (CHI 16)", "id" : "ITEM-2", "issued" : { "date-parts" : [ [ "2016" ] ] }, "page" : "1729-1738", "publisher-place" : "San Jose, CA, USA", "title" : "'Don't Waste My Time \u2019: Use of Time Information Improves Focus", "type" : "paper-conference" }, "uris" : [ "http://www.mendeley.com/documents/?uuid=ae8bfa72-b3a2-403f-b63a-69d54ecd5d9c" ] } ], "mendeley" : { "formattedCitation" : "(Cutrell, Czerwinski, &amp; Horvitz, 2001; Whittaker et al., 2016)", "plainTextFormattedCitation" : "(Cutrell, Czerwinski, &amp; Horvitz, 2001; Whittaker et al., 2016)", "previouslyFormattedCitation" : "(Cutrell, Czerwinski, &amp; Horvitz, 2001; Whittaker et al., 2016)" }, "properties" : {  }, "schema" : "https://github.com/citation-style-language/schema/raw/master/csl-citation.json" }</w:instrText>
      </w:r>
      <w:r w:rsidR="001C795B" w:rsidRPr="0011224F">
        <w:fldChar w:fldCharType="separate"/>
      </w:r>
      <w:r w:rsidR="0021615C" w:rsidRPr="0011224F">
        <w:rPr>
          <w:noProof/>
        </w:rPr>
        <w:t>(Cutrell, Czerwinski, &amp; Horvitz, 2001; Whittaker et al., 2016)</w:t>
      </w:r>
      <w:r w:rsidR="001C795B" w:rsidRPr="0011224F">
        <w:fldChar w:fldCharType="end"/>
      </w:r>
      <w:r w:rsidR="00EB38B6" w:rsidRPr="0011224F">
        <w:t>. Therefore,</w:t>
      </w:r>
      <w:r w:rsidR="00DE084A" w:rsidRPr="0011224F">
        <w:t xml:space="preserve"> feedback was only given after </w:t>
      </w:r>
      <w:r w:rsidR="00DE084A" w:rsidRPr="0011224F">
        <w:rPr>
          <w:i/>
        </w:rPr>
        <w:t>every trial</w:t>
      </w:r>
      <w:r w:rsidR="00DE084A" w:rsidRPr="0011224F">
        <w:t>.</w:t>
      </w:r>
      <w:r w:rsidR="00D852EE" w:rsidRPr="0011224F">
        <w:t xml:space="preserve"> </w:t>
      </w:r>
      <w:r w:rsidR="00EB38B6" w:rsidRPr="0011224F">
        <w:t xml:space="preserve">Future </w:t>
      </w:r>
      <w:r w:rsidR="00994A2A" w:rsidRPr="0011224F">
        <w:t xml:space="preserve">data entry </w:t>
      </w:r>
      <w:r w:rsidR="00EB38B6" w:rsidRPr="0011224F">
        <w:t>studies</w:t>
      </w:r>
      <w:r w:rsidR="00994A2A" w:rsidRPr="0011224F">
        <w:t xml:space="preserve"> that require fewer switches are needed to see if a notification</w:t>
      </w:r>
      <w:r w:rsidR="00EB38B6" w:rsidRPr="0011224F">
        <w:t xml:space="preserve"> </w:t>
      </w:r>
      <w:r w:rsidR="00994A2A" w:rsidRPr="0011224F">
        <w:t>upon</w:t>
      </w:r>
      <w:r w:rsidR="00EB38B6" w:rsidRPr="0011224F">
        <w:t xml:space="preserve"> every switch</w:t>
      </w:r>
      <w:r w:rsidR="00994A2A" w:rsidRPr="0011224F">
        <w:t xml:space="preserve"> </w:t>
      </w:r>
      <w:r w:rsidR="00EB38B6" w:rsidRPr="0011224F">
        <w:t xml:space="preserve">can reduce both the number and </w:t>
      </w:r>
      <w:r w:rsidR="00F55743" w:rsidRPr="0011224F">
        <w:t>length</w:t>
      </w:r>
      <w:r w:rsidR="00EB38B6" w:rsidRPr="0011224F">
        <w:t xml:space="preserve"> of switches. </w:t>
      </w:r>
      <w:r w:rsidR="00801BA6" w:rsidRPr="0011224F">
        <w:t>Moreover</w:t>
      </w:r>
      <w:r w:rsidR="00EB38B6" w:rsidRPr="0011224F">
        <w:t xml:space="preserve">, because the notification only showed information regarding the duration of switches, participants may have focused on reducing the duration, rather than number of switches. </w:t>
      </w:r>
    </w:p>
    <w:p w14:paraId="0C4293F7" w14:textId="7126DA73" w:rsidR="00214F32" w:rsidRPr="0011224F" w:rsidRDefault="00214F32" w:rsidP="00497E07">
      <w:pPr>
        <w:pStyle w:val="Paragraph"/>
      </w:pPr>
      <w:r w:rsidRPr="0011224F">
        <w:t>The current study used focus and blur events to analyse switching behaviour. This meant that task switches outside the device</w:t>
      </w:r>
      <w:r w:rsidR="00FA0D56" w:rsidRPr="0011224F">
        <w:t>, with the task window still in focus,</w:t>
      </w:r>
      <w:r w:rsidRPr="0011224F">
        <w:t xml:space="preserve"> were not captured. </w:t>
      </w:r>
      <w:r w:rsidR="00BA7988" w:rsidRPr="0011224F">
        <w:t xml:space="preserve">Possibly participants </w:t>
      </w:r>
      <w:r w:rsidR="00FA0D56" w:rsidRPr="0011224F">
        <w:t>learnt</w:t>
      </w:r>
      <w:r w:rsidR="00122550" w:rsidRPr="0011224F">
        <w:t xml:space="preserve"> to not interrupt themselves when they were away from this window, but after they had returned to the window. </w:t>
      </w:r>
      <w:r w:rsidR="00E3144D" w:rsidRPr="0011224F">
        <w:t>Without an accurate estimate of how long participants should take to complete the task, it is difficult to determine moments at which participants were away from their computer</w:t>
      </w:r>
      <w:r w:rsidR="0021615C" w:rsidRPr="0011224F">
        <w:t xml:space="preserve"> </w:t>
      </w:r>
      <w:r w:rsidR="0021615C" w:rsidRPr="0011224F">
        <w:fldChar w:fldCharType="begin" w:fldLock="1"/>
      </w:r>
      <w:r w:rsidR="0021615C" w:rsidRPr="0011224F">
        <w:instrText>ADDIN CSL_CITATION { "citationItems" : [ { "id" : "ITEM-1", "itemData" : { "ISBN" : "9781577356318", "abstract" : "Participants in human computation workflows may become fatigued or get bored over long, interminable working hours. This leads to a slump of motivation and morale, which in the long run causes reductions in both productivity and work quality. In this paper we propose an initial investigation into possible ways to alleviate worker fatigue and boredom by employing micro-breaks that provide timely relax to workers during long sequences of tasks. We experimentally test micro-breaks on Amazon\u2019s Mechanical Turk, showing that micro-breaks can significantly improve worker retention rate as task batches reach hours in length, and appear to increase overall worker engagement and commitment to their work.", "author" : [ { "dropping-particle" : "", "family" : "Rzeszotarski", "given" : "Jeffrey M", "non-dropping-particle" : "", "parse-names" : false, "suffix" : "" }, { "dropping-particle" : "", "family" : "Chi", "given" : "Ed", "non-dropping-particle" : "", "parse-names" : false, "suffix" : "" }, { "dropping-particle" : "", "family" : "Paritosh", "given" : "Praveen", "non-dropping-particle" : "", "parse-names" : false, "suffix" : "" }, { "dropping-particle" : "", "family" : "Dai", "given" : "Peng", "non-dropping-particle" : "", "parse-names" : false, "suffix" : "" } ], "container-title" : "AAAI Publications, First AAAI Conference on Human Computation and Crowdsourcing", "id" : "ITEM-1", "issued" : { "date-parts" : [ [ "2013" ] ] }, "number-of-pages" : "62-63", "title" : "Inserting Micro-Breaks into Crowdsourcing Workflows", "type" : "report" }, "uris" : [ "http://www.mendeley.com/documents/?uuid=346ff920-fd0c-4ed8-98f0-6ca1a3c830e4" ] } ], "mendeley" : { "formattedCitation" : "(Rzeszotarski, Chi, Paritosh, &amp; Dai, 2013)", "plainTextFormattedCitation" : "(Rzeszotarski, Chi, Paritosh, &amp; Dai, 2013)", "previouslyFormattedCitation" : "(Rzeszotarski, Chi, Paritosh, &amp; Dai, 2013)" }, "properties" : {  }, "schema" : "https://github.com/citation-style-language/schema/raw/master/csl-citation.json" }</w:instrText>
      </w:r>
      <w:r w:rsidR="0021615C" w:rsidRPr="0011224F">
        <w:fldChar w:fldCharType="separate"/>
      </w:r>
      <w:r w:rsidR="0021615C" w:rsidRPr="0011224F">
        <w:rPr>
          <w:noProof/>
        </w:rPr>
        <w:t>(Rzeszotarski, Chi, Paritosh, &amp; Dai, 2013)</w:t>
      </w:r>
      <w:r w:rsidR="0021615C" w:rsidRPr="0011224F">
        <w:fldChar w:fldCharType="end"/>
      </w:r>
      <w:r w:rsidR="00FA0D56" w:rsidRPr="0011224F">
        <w:t>.</w:t>
      </w:r>
      <w:r w:rsidR="00BA7988" w:rsidRPr="0011224F">
        <w:t xml:space="preserve"> </w:t>
      </w:r>
      <w:r w:rsidR="00AE3261" w:rsidRPr="0011224F">
        <w:t xml:space="preserve"> Using other </w:t>
      </w:r>
      <w:r w:rsidR="00924A7B" w:rsidRPr="0011224F">
        <w:t>techniques, such as</w:t>
      </w:r>
      <w:r w:rsidR="003D5F54" w:rsidRPr="0011224F">
        <w:t xml:space="preserve"> prompts at random intervals to confirm </w:t>
      </w:r>
      <w:r w:rsidR="00BA7988" w:rsidRPr="0011224F">
        <w:t>people</w:t>
      </w:r>
      <w:r w:rsidR="00AE3261" w:rsidRPr="0011224F">
        <w:t xml:space="preserve"> are still working on the task, may be able to give a further insight</w:t>
      </w:r>
      <w:r w:rsidR="00BA7988" w:rsidRPr="0011224F">
        <w:t xml:space="preserve"> whether our intervention changes overall self-interruption behaviour. </w:t>
      </w:r>
    </w:p>
    <w:p w14:paraId="0C44FA0A" w14:textId="6B6A393E" w:rsidR="0007287A" w:rsidRPr="0011224F" w:rsidRDefault="009E2CDE" w:rsidP="00497E07">
      <w:pPr>
        <w:pStyle w:val="Paragraph"/>
      </w:pPr>
      <w:r w:rsidRPr="0011224F">
        <w:t xml:space="preserve">Most studies on self-interruptions </w:t>
      </w:r>
      <w:r w:rsidR="00A626B5" w:rsidRPr="0011224F">
        <w:t>introduced</w:t>
      </w:r>
      <w:r w:rsidRPr="0011224F">
        <w:t xml:space="preserve"> an artificial </w:t>
      </w:r>
      <w:r w:rsidR="00A626B5" w:rsidRPr="0011224F">
        <w:t>distraction</w:t>
      </w:r>
      <w:r w:rsidRPr="0011224F">
        <w:t xml:space="preserve">, such as chat messages, to </w:t>
      </w:r>
      <w:r w:rsidR="00CC40ED" w:rsidRPr="0011224F">
        <w:t>measure when, how long, and how often</w:t>
      </w:r>
      <w:r w:rsidRPr="0011224F">
        <w:t xml:space="preserve"> people self-interrupt to</w:t>
      </w:r>
      <w:r w:rsidR="00563FE2" w:rsidRPr="0011224F">
        <w:t xml:space="preserve"> attend to this </w:t>
      </w:r>
      <w:r w:rsidR="00052D8E">
        <w:t>distracting task</w:t>
      </w:r>
      <w:r w:rsidR="0021615C" w:rsidRPr="0011224F">
        <w:t xml:space="preserve"> </w:t>
      </w:r>
      <w:r w:rsidR="0021615C" w:rsidRPr="0011224F">
        <w:fldChar w:fldCharType="begin" w:fldLock="1"/>
      </w:r>
      <w:r w:rsidR="0021615C" w:rsidRPr="0011224F">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"abstract" : "Recent research has found that forced interruptions at points of higher mental workload are more disruptive than at points of lower workload. This paper investigates a complementary idea: when users experience deferrable interruptions at points of higher workload, they may tend to defer processing of the interruption until times of lower workload. In an experiment, users performed a mail-browser primary task while being occasionally interrupted by a secondary chat task, evenly distributed between points of higher and lower workload. Analysis showed that 94% of the time, users switched to the interrupting task during periods of lower workload, versus only 6% during periods of higher workload. The results suggest that when interruptions can be deferred, users have a strong tendency to \" monotask \" until primary-task mental workload has been minimized.", "author" : [ { "dropping-particle" : "", "family" : "Salvucci", "given" : "Dario D", "non-dropping-particle" : "", "parse-names" : false, "suffix" : "" }, { "dropping-particle" : "", "family" : "Bogunovich", "given" : "Peter", "non-dropping-particle" : "", "parse-names" : false, "suffix" : "" } ], "container-title" : "CHI 2010", "id" : "ITEM-2", "issued" : { "date-parts" : [ [ "2010" ] ] }, "publisher-place" : "Atlanta, GA, USA", "title" : "Multitasking and Monotasking: The Effects of Mental Workload on Deferred Task Interruptions", "type" : "paper-conference" }, "uris" : [ "http://www.mendeley.com/documents/?uuid=05503b3e-eae9-3ad0-b83e-427a54d92c8f" ] } ], "mendeley" : { "formattedCitation" : "(Katidioti &amp; Taatgen, 2013; Salvucci &amp; Bogunovich, 2010)", "plainTextFormattedCitation" : "(Katidioti &amp; Taatgen, 2013; Salvucci &amp; Bogunovich, 2010)", "previouslyFormattedCitation" : "(Katidioti &amp; Taatgen, 2013; Salvucci &amp; Bogunovich, 2010)" }, "properties" : {  }, "schema" : "https://github.com/citation-style-language/schema/raw/master/csl-citation.json" }</w:instrText>
      </w:r>
      <w:r w:rsidR="0021615C" w:rsidRPr="0011224F">
        <w:fldChar w:fldCharType="separate"/>
      </w:r>
      <w:r w:rsidR="0021615C" w:rsidRPr="0011224F">
        <w:rPr>
          <w:noProof/>
        </w:rPr>
        <w:t>(Katidioti &amp; Taatgen, 2013; Salvucci &amp; Bogunovich, 2010)</w:t>
      </w:r>
      <w:r w:rsidR="0021615C" w:rsidRPr="0011224F">
        <w:fldChar w:fldCharType="end"/>
      </w:r>
      <w:r w:rsidRPr="0011224F">
        <w:t xml:space="preserve">. </w:t>
      </w:r>
      <w:r w:rsidR="001729CA" w:rsidRPr="0011224F">
        <w:t>The current</w:t>
      </w:r>
      <w:r w:rsidRPr="0011224F">
        <w:t xml:space="preserve"> study makes a small methodological contribution by using participants’ own personal email inbox, based on the assumption that </w:t>
      </w:r>
      <w:r w:rsidR="00A62F34" w:rsidRPr="0011224F">
        <w:t>email</w:t>
      </w:r>
      <w:r w:rsidRPr="0011224F">
        <w:t xml:space="preserve"> provide</w:t>
      </w:r>
      <w:r w:rsidR="00A62F34" w:rsidRPr="0011224F">
        <w:t>s</w:t>
      </w:r>
      <w:r w:rsidRPr="0011224F">
        <w:t xml:space="preserve"> a source of distraction</w:t>
      </w:r>
      <w:r w:rsidR="0021615C" w:rsidRPr="0011224F">
        <w:t xml:space="preserve"> </w:t>
      </w:r>
      <w:r w:rsidR="0021615C" w:rsidRPr="0011224F">
        <w:fldChar w:fldCharType="begin" w:fldLock="1"/>
      </w:r>
      <w:r w:rsidR="000B7C76">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 2016", "id" : "ITEM-2", "issued" : { "date-parts" : [ [ "2016" ] ] }, "title" : "Email duration, batching and self-interruption: Patterns of email use on productivity and stress", "type" : "paper-conference" }, "uris" : [ "http://www.mendeley.com/documents/?uuid=6e23e4df-2064-40da-b565-d6b67619760b" ] } ], "mendeley" : { "formattedCitation" : "(Hanrahan &amp; P\u00e9rez-Qu, 2015; Mark et al., 2016)", "plainTextFormattedCitation" : "(Hanrahan &amp; P\u00e9rez-Qu, 2015; Mark et al., 2016)", "previouslyFormattedCitation" : "(Hanrahan &amp; P\u00e9rez-Qu, 2015; Mark et al., 2016)" }, "properties" : {  }, "schema" : "https://github.com/citation-style-language/schema/raw/master/csl-citation.json" }</w:instrText>
      </w:r>
      <w:r w:rsidR="0021615C" w:rsidRPr="0011224F">
        <w:fldChar w:fldCharType="separate"/>
      </w:r>
      <w:r w:rsidR="000B7C76" w:rsidRPr="000B7C76">
        <w:rPr>
          <w:noProof/>
        </w:rPr>
        <w:t>(Hanrahan &amp; Pérez-Qu, 2015; Mark et al., 2016)</w:t>
      </w:r>
      <w:r w:rsidR="0021615C" w:rsidRPr="0011224F">
        <w:fldChar w:fldCharType="end"/>
      </w:r>
      <w:r w:rsidRPr="0011224F">
        <w:t xml:space="preserve">. </w:t>
      </w:r>
      <w:r w:rsidR="001729CA" w:rsidRPr="0011224F">
        <w:t>However, i</w:t>
      </w:r>
      <w:r w:rsidR="008A32D4" w:rsidRPr="0011224F">
        <w:t xml:space="preserve">n our study, participants only needed to </w:t>
      </w:r>
      <w:r w:rsidR="001729CA" w:rsidRPr="0011224F">
        <w:t>find and open an</w:t>
      </w:r>
      <w:r w:rsidR="008A32D4" w:rsidRPr="0011224F">
        <w:t xml:space="preserve"> email once.</w:t>
      </w:r>
      <w:r w:rsidR="000E21B1" w:rsidRPr="0011224F">
        <w:t xml:space="preserve"> Once they had this email opened, they did not have to re-find it in their inbox for the remainder of the experiment</w:t>
      </w:r>
      <w:r w:rsidR="00AF3E7B" w:rsidRPr="0011224F">
        <w:t>, and may have had this email maximised on their screen, hiding incoming messages</w:t>
      </w:r>
      <w:r w:rsidR="000E21B1" w:rsidRPr="0011224F">
        <w:t>.</w:t>
      </w:r>
      <w:r w:rsidR="008A32D4" w:rsidRPr="0011224F">
        <w:t xml:space="preserve"> In practice however, people have to first find the email</w:t>
      </w:r>
      <w:r w:rsidR="00AF3E7B" w:rsidRPr="0011224F">
        <w:t xml:space="preserve"> in their inbox,</w:t>
      </w:r>
      <w:r w:rsidR="008A32D4" w:rsidRPr="0011224F">
        <w:t xml:space="preserve"> w</w:t>
      </w:r>
      <w:r w:rsidR="00AF3E7B" w:rsidRPr="0011224F">
        <w:t>hich can</w:t>
      </w:r>
      <w:r w:rsidR="00A40A2A" w:rsidRPr="0011224F">
        <w:t xml:space="preserve"> partly</w:t>
      </w:r>
      <w:r w:rsidR="00AF3E7B" w:rsidRPr="0011224F">
        <w:t xml:space="preserve"> contribute to</w:t>
      </w:r>
      <w:r w:rsidR="00052D8E">
        <w:t xml:space="preserve"> the distraction. </w:t>
      </w:r>
      <w:r w:rsidR="008D16DA" w:rsidRPr="0011224F">
        <w:t xml:space="preserve">Our study has already shown an effect </w:t>
      </w:r>
      <w:r w:rsidR="008B6EAD" w:rsidRPr="0011224F">
        <w:t>on behaviour by switching to an email inbox</w:t>
      </w:r>
      <w:r w:rsidR="008D16DA" w:rsidRPr="0011224F">
        <w:t xml:space="preserve">. </w:t>
      </w:r>
      <w:r w:rsidR="00612226" w:rsidRPr="0011224F">
        <w:t xml:space="preserve">We expect there to be a higher potential for distraction if people have to </w:t>
      </w:r>
      <w:r w:rsidR="00AD3F1D" w:rsidRPr="0011224F">
        <w:t xml:space="preserve">also </w:t>
      </w:r>
      <w:r w:rsidR="00612226" w:rsidRPr="0011224F">
        <w:t>find th</w:t>
      </w:r>
      <w:r w:rsidR="0007287A" w:rsidRPr="0011224F">
        <w:t>e correct email in their inbox.</w:t>
      </w:r>
    </w:p>
    <w:p w14:paraId="6F7422DB" w14:textId="79CCC512" w:rsidR="00052D8E" w:rsidRPr="0011224F" w:rsidRDefault="00563FE2" w:rsidP="00052D8E">
      <w:pPr>
        <w:pStyle w:val="Paragraph"/>
      </w:pPr>
      <w:r w:rsidRPr="0011224F">
        <w:t xml:space="preserve">The results of our experiment indicate that showing people how long they switch on average reduces the duration of switches and can improve people’s task performance. The work makes a contribution to our understanding of switching behaviour for routine data entry tasks to distracting, but task-relevant, applications such as email. Our results also suggest ways in which </w:t>
      </w:r>
      <w:r w:rsidR="00FF6EB2">
        <w:t xml:space="preserve">tendencies </w:t>
      </w:r>
      <w:r w:rsidRPr="0011224F">
        <w:t xml:space="preserve">to </w:t>
      </w:r>
      <w:r w:rsidR="00BD459A">
        <w:t>attend to distractions</w:t>
      </w:r>
      <w:r w:rsidRPr="0011224F">
        <w:t xml:space="preserve"> might be </w:t>
      </w:r>
      <w:r w:rsidR="00BD459A">
        <w:t>mitigated</w:t>
      </w:r>
      <w:r w:rsidRPr="0011224F">
        <w:t xml:space="preserve">, and can provide a useful pointer for the design of productivity </w:t>
      </w:r>
      <w:r w:rsidR="00DC33B1" w:rsidRPr="0011224F">
        <w:t>interventions to improve focus.</w:t>
      </w:r>
      <w:r w:rsidR="00052D8E" w:rsidRPr="00052D8E">
        <w:t xml:space="preserve"> </w:t>
      </w:r>
      <w:r w:rsidR="00052D8E" w:rsidRPr="0011224F">
        <w:t xml:space="preserve">In </w:t>
      </w:r>
      <w:r w:rsidR="00BD459A">
        <w:t>the current</w:t>
      </w:r>
      <w:r w:rsidR="00052D8E" w:rsidRPr="0011224F">
        <w:t xml:space="preserve"> study, an experimental task was used in order to measure task performance. We plan on running a follow-up study with participants doing their own data entry work, to </w:t>
      </w:r>
      <w:r w:rsidR="00D75E9B">
        <w:t>evaluate</w:t>
      </w:r>
      <w:r w:rsidR="00052D8E" w:rsidRPr="0011224F">
        <w:t xml:space="preserve"> whether the </w:t>
      </w:r>
      <w:r w:rsidR="00D75E9B">
        <w:t xml:space="preserve">positive </w:t>
      </w:r>
      <w:r w:rsidR="00052D8E" w:rsidRPr="0011224F">
        <w:t xml:space="preserve">effect of time feedback on people’s switching behaviour can extend to naturalistic tasks. </w:t>
      </w:r>
    </w:p>
    <w:p w14:paraId="0A385685" w14:textId="6E5E9337" w:rsidR="00EA55BE" w:rsidRPr="004D5B68" w:rsidRDefault="00EA55BE" w:rsidP="004D5B68">
      <w:pPr>
        <w:pStyle w:val="Paragraph"/>
      </w:pPr>
    </w:p>
    <w:p w14:paraId="1FD51CE8" w14:textId="23D4FDD8" w:rsidR="002B69FB" w:rsidRPr="00EA55BE" w:rsidRDefault="00EA55BE" w:rsidP="004D5B68">
      <w:pPr>
        <w:pStyle w:val="Heading1"/>
      </w:pPr>
      <w:r>
        <w:t>References</w:t>
      </w:r>
    </w:p>
    <w:p w14:paraId="39F5937D" w14:textId="092627FF" w:rsidR="00DF4509" w:rsidRPr="00DF4509" w:rsidRDefault="00EA55BE" w:rsidP="00DF4509">
      <w:pPr>
        <w:widowControl w:val="0"/>
        <w:autoSpaceDE w:val="0"/>
        <w:autoSpaceDN w:val="0"/>
        <w:adjustRightInd w:val="0"/>
        <w:ind w:left="480" w:hanging="480"/>
        <w:rPr>
          <w:rFonts w:eastAsia="Times New Roman" w:cs="Times New Roman"/>
          <w:noProof/>
        </w:rPr>
      </w:pPr>
      <w:r>
        <w:rPr>
          <w:szCs w:val="22"/>
        </w:rPr>
        <w:fldChar w:fldCharType="begin" w:fldLock="1"/>
      </w:r>
      <w:r>
        <w:rPr>
          <w:szCs w:val="22"/>
        </w:rPr>
        <w:instrText xml:space="preserve">ADDIN Mendeley Bibliography CSL_BIBLIOGRAPHY </w:instrText>
      </w:r>
      <w:r>
        <w:rPr>
          <w:szCs w:val="22"/>
        </w:rPr>
        <w:fldChar w:fldCharType="separate"/>
      </w:r>
      <w:r w:rsidR="00DF4509" w:rsidRPr="00DF4509">
        <w:rPr>
          <w:rFonts w:eastAsia="Times New Roman" w:cs="Times New Roman"/>
          <w:noProof/>
        </w:rPr>
        <w:t xml:space="preserve">Altmann, E. M., Trafton, J. G., &amp; Hambrick, D. Z. (2014). Momentary interruptions can derail the train of thought. </w:t>
      </w:r>
      <w:r w:rsidR="00DF4509" w:rsidRPr="00DF4509">
        <w:rPr>
          <w:rFonts w:eastAsia="Times New Roman" w:cs="Times New Roman"/>
          <w:i/>
          <w:iCs/>
          <w:noProof/>
        </w:rPr>
        <w:t>Journal of Experimental Psychology: General</w:t>
      </w:r>
      <w:r w:rsidR="00DF4509" w:rsidRPr="00DF4509">
        <w:rPr>
          <w:rFonts w:eastAsia="Times New Roman" w:cs="Times New Roman"/>
          <w:noProof/>
        </w:rPr>
        <w:t xml:space="preserve">, </w:t>
      </w:r>
      <w:r w:rsidR="00DF4509" w:rsidRPr="00DF4509">
        <w:rPr>
          <w:rFonts w:eastAsia="Times New Roman" w:cs="Times New Roman"/>
          <w:i/>
          <w:iCs/>
          <w:noProof/>
        </w:rPr>
        <w:t>143</w:t>
      </w:r>
      <w:r w:rsidR="00DF4509" w:rsidRPr="00DF4509">
        <w:rPr>
          <w:rFonts w:eastAsia="Times New Roman" w:cs="Times New Roman"/>
          <w:noProof/>
        </w:rPr>
        <w:t>(1), 215–226. https://doi.org/10.1037/a0030986</w:t>
      </w:r>
    </w:p>
    <w:p w14:paraId="1D27FAFA"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Altmann, E. M., Trafton, J. G., &amp; Hambrick, D. Z. (2017). Effects of Interruption Length on Procedural Errors. </w:t>
      </w:r>
      <w:r w:rsidRPr="00DF4509">
        <w:rPr>
          <w:rFonts w:eastAsia="Times New Roman" w:cs="Times New Roman"/>
          <w:i/>
          <w:iCs/>
          <w:noProof/>
        </w:rPr>
        <w:t>Journal of Experimental Psychology: Applied</w:t>
      </w:r>
      <w:r w:rsidRPr="00DF4509">
        <w:rPr>
          <w:rFonts w:eastAsia="Times New Roman" w:cs="Times New Roman"/>
          <w:noProof/>
        </w:rPr>
        <w:t>. https://doi.org/10.1037/xap0000117</w:t>
      </w:r>
    </w:p>
    <w:p w14:paraId="21D4171F"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Borghouts, J., Brumby, D. P., &amp; Cox, A. L. (2017). Batching, Error Checking and Data Collecting : Understanding Data Entry in a Financial Office. In </w:t>
      </w:r>
      <w:r w:rsidRPr="00DF4509">
        <w:rPr>
          <w:rFonts w:eastAsia="Times New Roman" w:cs="Times New Roman"/>
          <w:i/>
          <w:iCs/>
          <w:noProof/>
        </w:rPr>
        <w:t>Proceedings of 15th European Conference on Computer-Supported Cooperative Work</w:t>
      </w:r>
      <w:r w:rsidRPr="00DF4509">
        <w:rPr>
          <w:rFonts w:eastAsia="Times New Roman" w:cs="Times New Roman"/>
          <w:noProof/>
        </w:rPr>
        <w:t>. Sheffield, UK. https://doi.org/10.18420/ecscw2017-4</w:t>
      </w:r>
    </w:p>
    <w:p w14:paraId="6087D2FB"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Collins, E. I. M., Cox, A. L., Bird, J., &amp; Cornish-Tresstail, C. (2014). Barriers to engagement with a personal informatics productivity tool. </w:t>
      </w:r>
      <w:r w:rsidRPr="00DF4509">
        <w:rPr>
          <w:rFonts w:eastAsia="Times New Roman" w:cs="Times New Roman"/>
          <w:i/>
          <w:iCs/>
          <w:noProof/>
        </w:rPr>
        <w:t>Proceedings of the 26th Australian Computer-Human Interaction Conference on Designing Futures the Future of Design - OzCHI ’14</w:t>
      </w:r>
      <w:r w:rsidRPr="00DF4509">
        <w:rPr>
          <w:rFonts w:eastAsia="Times New Roman" w:cs="Times New Roman"/>
          <w:noProof/>
        </w:rPr>
        <w:t>, 370–379. https://doi.org/10.1145/2686612.2686668</w:t>
      </w:r>
    </w:p>
    <w:p w14:paraId="55B5D567"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Cutrell, E., Czerwinski, M., &amp; Horvitz, E. (2001). Notification, Disruption, and Memory: Effects of Messaging Interruptions on Memory and Performance. In </w:t>
      </w:r>
      <w:r w:rsidRPr="00DF4509">
        <w:rPr>
          <w:rFonts w:eastAsia="Times New Roman" w:cs="Times New Roman"/>
          <w:i/>
          <w:iCs/>
          <w:noProof/>
        </w:rPr>
        <w:t>Proceedings of INTERACT 2001</w:t>
      </w:r>
      <w:r w:rsidRPr="00DF4509">
        <w:rPr>
          <w:rFonts w:eastAsia="Times New Roman" w:cs="Times New Roman"/>
          <w:noProof/>
        </w:rPr>
        <w:t xml:space="preserve"> (pp. 263–269). New York, NY, USA: Springer. Retrieved from https://www.microsoft.com/en-us/research/wp-content/uploads/2016/02/Interact2001Messaging.pdf</w:t>
      </w:r>
    </w:p>
    <w:p w14:paraId="3BC8B1AD"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Gonzalez, V. M., &amp; Mark, G. (2004). “Constant, Constant, Multi-tasking Craziness”: Managing Multiple Working Spheres. In </w:t>
      </w:r>
      <w:r w:rsidRPr="00DF4509">
        <w:rPr>
          <w:rFonts w:eastAsia="Times New Roman" w:cs="Times New Roman"/>
          <w:i/>
          <w:iCs/>
          <w:noProof/>
        </w:rPr>
        <w:t>Proceedings of the SIGCHI Conference on Human Factors in Computing Systems (CHI ’04)</w:t>
      </w:r>
      <w:r w:rsidRPr="00DF4509">
        <w:rPr>
          <w:rFonts w:eastAsia="Times New Roman" w:cs="Times New Roman"/>
          <w:noProof/>
        </w:rPr>
        <w:t xml:space="preserve"> (pp. 113–120). Vienna, Austria. Retrieved from http://delivery.acm.org/10.1145/990000/985707/p113-gonzalez.pdf?key1=985707&amp;key2=9709385111&amp;coll=GUIDE&amp;dl=GUIDE&amp;CFID=44938518&amp;CFTOKEN=14011566</w:t>
      </w:r>
    </w:p>
    <w:p w14:paraId="1D550AD9"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Gould, S. J. J., Cox, A. L., &amp; Brumby, D. P. (2016). Diminished Control in Crowdsourcing: An Investigation of Crowdworker Multitasking Behavior  , </w:t>
      </w:r>
      <w:r w:rsidRPr="00DF4509">
        <w:rPr>
          <w:rFonts w:eastAsia="Times New Roman" w:cs="Times New Roman"/>
          <w:i/>
          <w:iCs/>
          <w:noProof/>
        </w:rPr>
        <w:t>23</w:t>
      </w:r>
      <w:r w:rsidRPr="00DF4509">
        <w:rPr>
          <w:rFonts w:eastAsia="Times New Roman" w:cs="Times New Roman"/>
          <w:noProof/>
        </w:rPr>
        <w:t>(3), 1–27. https://doi.org/10.1145/2928269</w:t>
      </w:r>
    </w:p>
    <w:p w14:paraId="628DE7DE"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Hanrahan, B. V, &amp; Pérez-Qu, M. A. (2015). Lost in Email: Pulling Users Down a Path of Interaction. In </w:t>
      </w:r>
      <w:r w:rsidRPr="00DF4509">
        <w:rPr>
          <w:rFonts w:eastAsia="Times New Roman" w:cs="Times New Roman"/>
          <w:i/>
          <w:iCs/>
          <w:noProof/>
        </w:rPr>
        <w:t>CHI’15</w:t>
      </w:r>
      <w:r w:rsidRPr="00DF4509">
        <w:rPr>
          <w:rFonts w:eastAsia="Times New Roman" w:cs="Times New Roman"/>
          <w:noProof/>
        </w:rPr>
        <w:t xml:space="preserve"> (pp. 3981–3984). https://doi.org/10.1145/2702123.2702351</w:t>
      </w:r>
    </w:p>
    <w:p w14:paraId="790522F6"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Jin, J., &amp; Dabbish, L. A. (2009). Self-Interruption on the Computer : A Typology of Discretionary Task Interleaving. In </w:t>
      </w:r>
      <w:r w:rsidRPr="00DF4509">
        <w:rPr>
          <w:rFonts w:eastAsia="Times New Roman" w:cs="Times New Roman"/>
          <w:i/>
          <w:iCs/>
          <w:noProof/>
        </w:rPr>
        <w:t>CHI 2009</w:t>
      </w:r>
      <w:r w:rsidRPr="00DF4509">
        <w:rPr>
          <w:rFonts w:eastAsia="Times New Roman" w:cs="Times New Roman"/>
          <w:noProof/>
        </w:rPr>
        <w:t xml:space="preserve"> (pp. 1799–1808).</w:t>
      </w:r>
    </w:p>
    <w:p w14:paraId="551B261C"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Katidioti, I., &amp; Taatgen, N. A. (2013). Choice in Multitasking: How Delays in the Primary Task Turn a Rational Into an Irrational Multitasker. </w:t>
      </w:r>
      <w:r w:rsidRPr="00DF4509">
        <w:rPr>
          <w:rFonts w:eastAsia="Times New Roman" w:cs="Times New Roman"/>
          <w:i/>
          <w:iCs/>
          <w:noProof/>
        </w:rPr>
        <w:t>Human Factors: The Journal of the Human Factors and Ergonomics Society</w:t>
      </w:r>
      <w:r w:rsidRPr="00DF4509">
        <w:rPr>
          <w:rFonts w:eastAsia="Times New Roman" w:cs="Times New Roman"/>
          <w:noProof/>
        </w:rPr>
        <w:t xml:space="preserve">, </w:t>
      </w:r>
      <w:r w:rsidRPr="00DF4509">
        <w:rPr>
          <w:rFonts w:eastAsia="Times New Roman" w:cs="Times New Roman"/>
          <w:i/>
          <w:iCs/>
          <w:noProof/>
        </w:rPr>
        <w:t>56</w:t>
      </w:r>
      <w:r w:rsidRPr="00DF4509">
        <w:rPr>
          <w:rFonts w:eastAsia="Times New Roman" w:cs="Times New Roman"/>
          <w:noProof/>
        </w:rPr>
        <w:t>(4), 728–736. https://doi.org/10.1177/0018720813504216</w:t>
      </w:r>
    </w:p>
    <w:p w14:paraId="0D91EBFF"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Kim, J., Cho, K. C., &amp; Lee, K. U. (2017). Technology Supported Behavior Restriction for Mitigating Self-Interruptions in Multi-device Environments. </w:t>
      </w:r>
      <w:r w:rsidRPr="00DF4509">
        <w:rPr>
          <w:rFonts w:eastAsia="Times New Roman" w:cs="Times New Roman"/>
          <w:i/>
          <w:iCs/>
          <w:noProof/>
        </w:rPr>
        <w:t>Proc. ACM Interact. Mob. Wearable Ubiquitous Technol</w:t>
      </w:r>
      <w:r w:rsidRPr="00DF4509">
        <w:rPr>
          <w:rFonts w:eastAsia="Times New Roman" w:cs="Times New Roman"/>
          <w:noProof/>
        </w:rPr>
        <w:t xml:space="preserve">, </w:t>
      </w:r>
      <w:r w:rsidRPr="00DF4509">
        <w:rPr>
          <w:rFonts w:eastAsia="Times New Roman" w:cs="Times New Roman"/>
          <w:i/>
          <w:iCs/>
          <w:noProof/>
        </w:rPr>
        <w:t>1</w:t>
      </w:r>
      <w:r w:rsidRPr="00DF4509">
        <w:rPr>
          <w:rFonts w:eastAsia="Times New Roman" w:cs="Times New Roman"/>
          <w:noProof/>
        </w:rPr>
        <w:t>(21). https://doi.org/10.1145/3130932</w:t>
      </w:r>
    </w:p>
    <w:p w14:paraId="321757BA"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ManicTime. (2018). Retrieved January 9, 2018, from https://www.manictime.com</w:t>
      </w:r>
    </w:p>
    <w:p w14:paraId="448D35FD"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Mark, G., Iqbal, S. T., Czerwinski, M., Johns, P., &amp; Sano, A. (2016). Email duration, batching and self-interruption: Patterns of email use on productivity and stress. In </w:t>
      </w:r>
      <w:r w:rsidRPr="00DF4509">
        <w:rPr>
          <w:rFonts w:eastAsia="Times New Roman" w:cs="Times New Roman"/>
          <w:i/>
          <w:iCs/>
          <w:noProof/>
        </w:rPr>
        <w:t>CHI 2016</w:t>
      </w:r>
      <w:r w:rsidRPr="00DF4509">
        <w:rPr>
          <w:rFonts w:eastAsia="Times New Roman" w:cs="Times New Roman"/>
          <w:noProof/>
        </w:rPr>
        <w:t>.</w:t>
      </w:r>
    </w:p>
    <w:p w14:paraId="785D0652"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Monk, C. A., Trafton, J. G., &amp; Boehm-Davis, D. A. (2008). The effect of interruption duration and demand on resuming suspended goals. </w:t>
      </w:r>
      <w:r w:rsidRPr="00DF4509">
        <w:rPr>
          <w:rFonts w:eastAsia="Times New Roman" w:cs="Times New Roman"/>
          <w:i/>
          <w:iCs/>
          <w:noProof/>
        </w:rPr>
        <w:t>Journal of Experimental Psychology: Applied</w:t>
      </w:r>
      <w:r w:rsidRPr="00DF4509">
        <w:rPr>
          <w:rFonts w:eastAsia="Times New Roman" w:cs="Times New Roman"/>
          <w:noProof/>
        </w:rPr>
        <w:t xml:space="preserve">, </w:t>
      </w:r>
      <w:r w:rsidRPr="00DF4509">
        <w:rPr>
          <w:rFonts w:eastAsia="Times New Roman" w:cs="Times New Roman"/>
          <w:i/>
          <w:iCs/>
          <w:noProof/>
        </w:rPr>
        <w:t>14</w:t>
      </w:r>
      <w:r w:rsidRPr="00DF4509">
        <w:rPr>
          <w:rFonts w:eastAsia="Times New Roman" w:cs="Times New Roman"/>
          <w:noProof/>
        </w:rPr>
        <w:t>(4), 299–313. https://doi.org/10.1037/a0014402</w:t>
      </w:r>
    </w:p>
    <w:p w14:paraId="23C868B5"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RescueTime. (2018). Retrieved January 9, 2018, from https://www.rescuetime.com</w:t>
      </w:r>
    </w:p>
    <w:p w14:paraId="5A65B767"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Rzeszotarski, J. M., Chi, E., Paritosh, P., &amp; Dai, P. (2013). </w:t>
      </w:r>
      <w:r w:rsidRPr="00DF4509">
        <w:rPr>
          <w:rFonts w:eastAsia="Times New Roman" w:cs="Times New Roman"/>
          <w:i/>
          <w:iCs/>
          <w:noProof/>
        </w:rPr>
        <w:t>Inserting Micro-Breaks into Crowdsourcing Workflows</w:t>
      </w:r>
      <w:r w:rsidRPr="00DF4509">
        <w:rPr>
          <w:rFonts w:eastAsia="Times New Roman" w:cs="Times New Roman"/>
          <w:noProof/>
        </w:rPr>
        <w:t xml:space="preserve">. </w:t>
      </w:r>
      <w:r w:rsidRPr="00DF4509">
        <w:rPr>
          <w:rFonts w:eastAsia="Times New Roman" w:cs="Times New Roman"/>
          <w:i/>
          <w:iCs/>
          <w:noProof/>
        </w:rPr>
        <w:t>AAAI Publications, First AAAI Conference on Human Computation and Crowdsourcing</w:t>
      </w:r>
      <w:r w:rsidRPr="00DF4509">
        <w:rPr>
          <w:rFonts w:eastAsia="Times New Roman" w:cs="Times New Roman"/>
          <w:noProof/>
        </w:rPr>
        <w:t>.</w:t>
      </w:r>
    </w:p>
    <w:p w14:paraId="0B39C77C"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Salvucci, D. D., &amp; Bogunovich, P. (2010). Multitasking and Monotasking: The Effects of Mental Workload on Deferred Task Interruptions. In </w:t>
      </w:r>
      <w:r w:rsidRPr="00DF4509">
        <w:rPr>
          <w:rFonts w:eastAsia="Times New Roman" w:cs="Times New Roman"/>
          <w:i/>
          <w:iCs/>
          <w:noProof/>
        </w:rPr>
        <w:t>CHI 2010</w:t>
      </w:r>
      <w:r w:rsidRPr="00DF4509">
        <w:rPr>
          <w:rFonts w:eastAsia="Times New Roman" w:cs="Times New Roman"/>
          <w:noProof/>
        </w:rPr>
        <w:t>. Atlanta, GA, USA. Retrieved from http://citeseerx.ist.psu.edu/viewdoc/download?doi=10.1.1.157.7522&amp;rep=rep1&amp;type=pdf</w:t>
      </w:r>
    </w:p>
    <w:p w14:paraId="42A68416" w14:textId="77777777" w:rsidR="00DF4509" w:rsidRPr="00DF4509" w:rsidRDefault="00DF4509" w:rsidP="00DF4509">
      <w:pPr>
        <w:widowControl w:val="0"/>
        <w:autoSpaceDE w:val="0"/>
        <w:autoSpaceDN w:val="0"/>
        <w:adjustRightInd w:val="0"/>
        <w:ind w:left="480" w:hanging="480"/>
        <w:rPr>
          <w:noProof/>
        </w:rPr>
      </w:pPr>
      <w:r w:rsidRPr="00DF4509">
        <w:rPr>
          <w:rFonts w:eastAsia="Times New Roman" w:cs="Times New Roman"/>
          <w:noProof/>
        </w:rPr>
        <w:t xml:space="preserve">Whittaker, S., Hollis, V., &amp; Guydish, A. (2016). “Don”t Waste My Time ’: Use of Time Information Improves Focus. In </w:t>
      </w:r>
      <w:r w:rsidRPr="00DF4509">
        <w:rPr>
          <w:rFonts w:eastAsia="Times New Roman" w:cs="Times New Roman"/>
          <w:i/>
          <w:iCs/>
          <w:noProof/>
        </w:rPr>
        <w:t>Proceedings of the SIGCHI Conference on Human Factors in Computing Systems (CHI 16)</w:t>
      </w:r>
      <w:r w:rsidRPr="00DF4509">
        <w:rPr>
          <w:rFonts w:eastAsia="Times New Roman" w:cs="Times New Roman"/>
          <w:noProof/>
        </w:rPr>
        <w:t xml:space="preserve"> (pp. 1729–1738). San Jose, CA, USA.</w:t>
      </w:r>
    </w:p>
    <w:p w14:paraId="4036195C" w14:textId="18F65A1C" w:rsidR="0084789A" w:rsidRPr="00AB5EE9" w:rsidRDefault="00EA55BE" w:rsidP="00DF4509">
      <w:pPr>
        <w:widowControl w:val="0"/>
        <w:autoSpaceDE w:val="0"/>
        <w:autoSpaceDN w:val="0"/>
        <w:adjustRightInd w:val="0"/>
        <w:ind w:left="480" w:hanging="480"/>
        <w:rPr>
          <w:szCs w:val="22"/>
        </w:rPr>
      </w:pPr>
      <w:r>
        <w:rPr>
          <w:szCs w:val="22"/>
        </w:rPr>
        <w:fldChar w:fldCharType="end"/>
      </w:r>
    </w:p>
    <w:sectPr w:rsidR="0084789A" w:rsidRPr="00AB5EE9"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113C6"/>
    <w:multiLevelType w:val="hybridMultilevel"/>
    <w:tmpl w:val="9ECC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164944"/>
    <w:multiLevelType w:val="hybridMultilevel"/>
    <w:tmpl w:val="E28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214B89"/>
    <w:multiLevelType w:val="hybridMultilevel"/>
    <w:tmpl w:val="3D2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03362"/>
    <w:multiLevelType w:val="hybridMultilevel"/>
    <w:tmpl w:val="0C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D4C3B"/>
    <w:multiLevelType w:val="hybridMultilevel"/>
    <w:tmpl w:val="7A8A7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9F"/>
    <w:rsid w:val="0000062F"/>
    <w:rsid w:val="00001D2A"/>
    <w:rsid w:val="000046B4"/>
    <w:rsid w:val="00004EBD"/>
    <w:rsid w:val="0000597E"/>
    <w:rsid w:val="00010CA4"/>
    <w:rsid w:val="0001307B"/>
    <w:rsid w:val="00033E27"/>
    <w:rsid w:val="00042193"/>
    <w:rsid w:val="00045A3C"/>
    <w:rsid w:val="000529E2"/>
    <w:rsid w:val="00052D8E"/>
    <w:rsid w:val="000539A5"/>
    <w:rsid w:val="00056992"/>
    <w:rsid w:val="000618B1"/>
    <w:rsid w:val="00065D61"/>
    <w:rsid w:val="00066EE8"/>
    <w:rsid w:val="0007287A"/>
    <w:rsid w:val="0007712B"/>
    <w:rsid w:val="00077D6C"/>
    <w:rsid w:val="000818A2"/>
    <w:rsid w:val="00081A56"/>
    <w:rsid w:val="00084169"/>
    <w:rsid w:val="00085DF2"/>
    <w:rsid w:val="000864D0"/>
    <w:rsid w:val="0009136B"/>
    <w:rsid w:val="000A66E2"/>
    <w:rsid w:val="000B075C"/>
    <w:rsid w:val="000B2D01"/>
    <w:rsid w:val="000B3C4F"/>
    <w:rsid w:val="000B6E2B"/>
    <w:rsid w:val="000B7C76"/>
    <w:rsid w:val="000C14E6"/>
    <w:rsid w:val="000C3319"/>
    <w:rsid w:val="000C427B"/>
    <w:rsid w:val="000C4EDE"/>
    <w:rsid w:val="000C6152"/>
    <w:rsid w:val="000D001F"/>
    <w:rsid w:val="000D0EC1"/>
    <w:rsid w:val="000D0F31"/>
    <w:rsid w:val="000E181D"/>
    <w:rsid w:val="000E21B1"/>
    <w:rsid w:val="000E525B"/>
    <w:rsid w:val="000E70A1"/>
    <w:rsid w:val="000F130F"/>
    <w:rsid w:val="000F56DA"/>
    <w:rsid w:val="000F7410"/>
    <w:rsid w:val="001045F1"/>
    <w:rsid w:val="001052B7"/>
    <w:rsid w:val="00106515"/>
    <w:rsid w:val="00106DEB"/>
    <w:rsid w:val="00110EB3"/>
    <w:rsid w:val="00111680"/>
    <w:rsid w:val="0011224F"/>
    <w:rsid w:val="00113E39"/>
    <w:rsid w:val="00114B0A"/>
    <w:rsid w:val="00117591"/>
    <w:rsid w:val="001209D8"/>
    <w:rsid w:val="0012126E"/>
    <w:rsid w:val="00122550"/>
    <w:rsid w:val="00123CCB"/>
    <w:rsid w:val="00131C36"/>
    <w:rsid w:val="00133C4D"/>
    <w:rsid w:val="00134525"/>
    <w:rsid w:val="001361AF"/>
    <w:rsid w:val="0014407F"/>
    <w:rsid w:val="00147F02"/>
    <w:rsid w:val="00157BC4"/>
    <w:rsid w:val="00161C32"/>
    <w:rsid w:val="00171181"/>
    <w:rsid w:val="001729CA"/>
    <w:rsid w:val="00175EB5"/>
    <w:rsid w:val="0018118A"/>
    <w:rsid w:val="00186359"/>
    <w:rsid w:val="0019618F"/>
    <w:rsid w:val="001A085A"/>
    <w:rsid w:val="001A64E8"/>
    <w:rsid w:val="001A7B3B"/>
    <w:rsid w:val="001A7EDB"/>
    <w:rsid w:val="001B0F04"/>
    <w:rsid w:val="001B1897"/>
    <w:rsid w:val="001B2FD4"/>
    <w:rsid w:val="001B30B8"/>
    <w:rsid w:val="001B43C4"/>
    <w:rsid w:val="001B43F8"/>
    <w:rsid w:val="001B5CE2"/>
    <w:rsid w:val="001B60B7"/>
    <w:rsid w:val="001B71E9"/>
    <w:rsid w:val="001C3430"/>
    <w:rsid w:val="001C795B"/>
    <w:rsid w:val="001D37A0"/>
    <w:rsid w:val="001D3B3E"/>
    <w:rsid w:val="001D6646"/>
    <w:rsid w:val="001D6B20"/>
    <w:rsid w:val="001D7155"/>
    <w:rsid w:val="001E443F"/>
    <w:rsid w:val="001F09EC"/>
    <w:rsid w:val="001F66EE"/>
    <w:rsid w:val="001F7736"/>
    <w:rsid w:val="00200808"/>
    <w:rsid w:val="00201047"/>
    <w:rsid w:val="0020233A"/>
    <w:rsid w:val="00205DC9"/>
    <w:rsid w:val="00214922"/>
    <w:rsid w:val="00214F32"/>
    <w:rsid w:val="0021615C"/>
    <w:rsid w:val="00221CC2"/>
    <w:rsid w:val="00223E47"/>
    <w:rsid w:val="00224077"/>
    <w:rsid w:val="00236936"/>
    <w:rsid w:val="00240317"/>
    <w:rsid w:val="00243E2C"/>
    <w:rsid w:val="002445B9"/>
    <w:rsid w:val="00246CD8"/>
    <w:rsid w:val="0025278B"/>
    <w:rsid w:val="00252E40"/>
    <w:rsid w:val="002551EF"/>
    <w:rsid w:val="00255599"/>
    <w:rsid w:val="002600EE"/>
    <w:rsid w:val="0026285E"/>
    <w:rsid w:val="00272DFE"/>
    <w:rsid w:val="00276C8C"/>
    <w:rsid w:val="002815A3"/>
    <w:rsid w:val="002B365E"/>
    <w:rsid w:val="002B5149"/>
    <w:rsid w:val="002B5329"/>
    <w:rsid w:val="002B54FD"/>
    <w:rsid w:val="002B579D"/>
    <w:rsid w:val="002B58C1"/>
    <w:rsid w:val="002B60DB"/>
    <w:rsid w:val="002B69FB"/>
    <w:rsid w:val="002B7397"/>
    <w:rsid w:val="002C1E68"/>
    <w:rsid w:val="002C584B"/>
    <w:rsid w:val="002E3639"/>
    <w:rsid w:val="002E4C5E"/>
    <w:rsid w:val="002E72BC"/>
    <w:rsid w:val="002E7AE5"/>
    <w:rsid w:val="002F048A"/>
    <w:rsid w:val="002F06A3"/>
    <w:rsid w:val="002F4A67"/>
    <w:rsid w:val="0030437F"/>
    <w:rsid w:val="00311F4E"/>
    <w:rsid w:val="00313878"/>
    <w:rsid w:val="00313AE9"/>
    <w:rsid w:val="00321FB0"/>
    <w:rsid w:val="00322B92"/>
    <w:rsid w:val="0032649E"/>
    <w:rsid w:val="00331970"/>
    <w:rsid w:val="00333511"/>
    <w:rsid w:val="00334E23"/>
    <w:rsid w:val="0033605A"/>
    <w:rsid w:val="00337AFB"/>
    <w:rsid w:val="00340A6A"/>
    <w:rsid w:val="0034438B"/>
    <w:rsid w:val="003511F5"/>
    <w:rsid w:val="00352BB4"/>
    <w:rsid w:val="00353AF8"/>
    <w:rsid w:val="00353C0A"/>
    <w:rsid w:val="00354767"/>
    <w:rsid w:val="00355355"/>
    <w:rsid w:val="00360859"/>
    <w:rsid w:val="0036118D"/>
    <w:rsid w:val="003648EF"/>
    <w:rsid w:val="003713A3"/>
    <w:rsid w:val="00374CD4"/>
    <w:rsid w:val="003769C2"/>
    <w:rsid w:val="00386F3B"/>
    <w:rsid w:val="0038793A"/>
    <w:rsid w:val="003905F3"/>
    <w:rsid w:val="00390742"/>
    <w:rsid w:val="003911D2"/>
    <w:rsid w:val="00392ACA"/>
    <w:rsid w:val="003A0524"/>
    <w:rsid w:val="003A1E5C"/>
    <w:rsid w:val="003A46B3"/>
    <w:rsid w:val="003B468D"/>
    <w:rsid w:val="003C01D1"/>
    <w:rsid w:val="003C2A47"/>
    <w:rsid w:val="003C41CF"/>
    <w:rsid w:val="003C5B65"/>
    <w:rsid w:val="003C6FCB"/>
    <w:rsid w:val="003D21E1"/>
    <w:rsid w:val="003D5F54"/>
    <w:rsid w:val="003E1874"/>
    <w:rsid w:val="003E3FC4"/>
    <w:rsid w:val="003E53FC"/>
    <w:rsid w:val="003F1FD3"/>
    <w:rsid w:val="003F5782"/>
    <w:rsid w:val="003F5E5E"/>
    <w:rsid w:val="003F5FAD"/>
    <w:rsid w:val="003F7A25"/>
    <w:rsid w:val="00407F2B"/>
    <w:rsid w:val="004107C1"/>
    <w:rsid w:val="00411885"/>
    <w:rsid w:val="004132F4"/>
    <w:rsid w:val="004216F1"/>
    <w:rsid w:val="004306A9"/>
    <w:rsid w:val="00433E20"/>
    <w:rsid w:val="0043496F"/>
    <w:rsid w:val="00434CB0"/>
    <w:rsid w:val="00435CEF"/>
    <w:rsid w:val="0044220C"/>
    <w:rsid w:val="00450C67"/>
    <w:rsid w:val="004537F7"/>
    <w:rsid w:val="004548EB"/>
    <w:rsid w:val="004572F4"/>
    <w:rsid w:val="00462A19"/>
    <w:rsid w:val="00464955"/>
    <w:rsid w:val="004660C8"/>
    <w:rsid w:val="00476D57"/>
    <w:rsid w:val="00482ABC"/>
    <w:rsid w:val="00484A98"/>
    <w:rsid w:val="00484C48"/>
    <w:rsid w:val="00495F20"/>
    <w:rsid w:val="00497E07"/>
    <w:rsid w:val="004A28EA"/>
    <w:rsid w:val="004C0DA6"/>
    <w:rsid w:val="004C1831"/>
    <w:rsid w:val="004C26AE"/>
    <w:rsid w:val="004C78BA"/>
    <w:rsid w:val="004D0041"/>
    <w:rsid w:val="004D04E7"/>
    <w:rsid w:val="004D303D"/>
    <w:rsid w:val="004D3DFD"/>
    <w:rsid w:val="004D5B68"/>
    <w:rsid w:val="004D6CC9"/>
    <w:rsid w:val="004E1195"/>
    <w:rsid w:val="004E58C3"/>
    <w:rsid w:val="004F6693"/>
    <w:rsid w:val="005005C9"/>
    <w:rsid w:val="00513699"/>
    <w:rsid w:val="00522E6F"/>
    <w:rsid w:val="005254BC"/>
    <w:rsid w:val="00527A9D"/>
    <w:rsid w:val="005301C5"/>
    <w:rsid w:val="005303D7"/>
    <w:rsid w:val="0053441E"/>
    <w:rsid w:val="0054236E"/>
    <w:rsid w:val="005428EC"/>
    <w:rsid w:val="00543CE1"/>
    <w:rsid w:val="00544896"/>
    <w:rsid w:val="00550BA2"/>
    <w:rsid w:val="00552DDD"/>
    <w:rsid w:val="00562E77"/>
    <w:rsid w:val="00563FE2"/>
    <w:rsid w:val="00564E98"/>
    <w:rsid w:val="00566489"/>
    <w:rsid w:val="005724D1"/>
    <w:rsid w:val="00573B4C"/>
    <w:rsid w:val="00574DF8"/>
    <w:rsid w:val="00584AE2"/>
    <w:rsid w:val="00585633"/>
    <w:rsid w:val="005918EA"/>
    <w:rsid w:val="0059226D"/>
    <w:rsid w:val="00592B24"/>
    <w:rsid w:val="00595CBE"/>
    <w:rsid w:val="005A071D"/>
    <w:rsid w:val="005A0842"/>
    <w:rsid w:val="005A0D14"/>
    <w:rsid w:val="005A379F"/>
    <w:rsid w:val="005A492C"/>
    <w:rsid w:val="005A71A9"/>
    <w:rsid w:val="005B4E4F"/>
    <w:rsid w:val="005B5883"/>
    <w:rsid w:val="005B681D"/>
    <w:rsid w:val="005D1E02"/>
    <w:rsid w:val="005D4567"/>
    <w:rsid w:val="005D4FAF"/>
    <w:rsid w:val="005D6BD9"/>
    <w:rsid w:val="005D751E"/>
    <w:rsid w:val="005F1971"/>
    <w:rsid w:val="005F2BE9"/>
    <w:rsid w:val="006078F7"/>
    <w:rsid w:val="0061216F"/>
    <w:rsid w:val="00612226"/>
    <w:rsid w:val="0061254A"/>
    <w:rsid w:val="00613537"/>
    <w:rsid w:val="00616FB9"/>
    <w:rsid w:val="00621DF4"/>
    <w:rsid w:val="00622530"/>
    <w:rsid w:val="00623DA7"/>
    <w:rsid w:val="006343EF"/>
    <w:rsid w:val="00635E77"/>
    <w:rsid w:val="00636B88"/>
    <w:rsid w:val="00641F3F"/>
    <w:rsid w:val="00644293"/>
    <w:rsid w:val="00645260"/>
    <w:rsid w:val="00647463"/>
    <w:rsid w:val="00647ABE"/>
    <w:rsid w:val="00647B42"/>
    <w:rsid w:val="00650512"/>
    <w:rsid w:val="00654CAC"/>
    <w:rsid w:val="00654D3E"/>
    <w:rsid w:val="00662CBA"/>
    <w:rsid w:val="00664050"/>
    <w:rsid w:val="0066447D"/>
    <w:rsid w:val="00664A30"/>
    <w:rsid w:val="00665777"/>
    <w:rsid w:val="006677EC"/>
    <w:rsid w:val="00670750"/>
    <w:rsid w:val="006735D0"/>
    <w:rsid w:val="00673610"/>
    <w:rsid w:val="006741E0"/>
    <w:rsid w:val="00674E25"/>
    <w:rsid w:val="00675F50"/>
    <w:rsid w:val="00676CFA"/>
    <w:rsid w:val="00683862"/>
    <w:rsid w:val="00685ECF"/>
    <w:rsid w:val="006860CA"/>
    <w:rsid w:val="00692041"/>
    <w:rsid w:val="00693D03"/>
    <w:rsid w:val="006972F1"/>
    <w:rsid w:val="006A1E65"/>
    <w:rsid w:val="006A2961"/>
    <w:rsid w:val="006A5C75"/>
    <w:rsid w:val="006A69CE"/>
    <w:rsid w:val="006B5DC3"/>
    <w:rsid w:val="006B6E53"/>
    <w:rsid w:val="006B722B"/>
    <w:rsid w:val="006C41C2"/>
    <w:rsid w:val="006D39A4"/>
    <w:rsid w:val="006E0A9F"/>
    <w:rsid w:val="006E157B"/>
    <w:rsid w:val="006E4365"/>
    <w:rsid w:val="006F2014"/>
    <w:rsid w:val="006F26DD"/>
    <w:rsid w:val="006F27A4"/>
    <w:rsid w:val="006F55BB"/>
    <w:rsid w:val="00700C75"/>
    <w:rsid w:val="00701FDD"/>
    <w:rsid w:val="00705132"/>
    <w:rsid w:val="00705938"/>
    <w:rsid w:val="00705AA0"/>
    <w:rsid w:val="007131AB"/>
    <w:rsid w:val="007132D2"/>
    <w:rsid w:val="00713DE6"/>
    <w:rsid w:val="00721508"/>
    <w:rsid w:val="007219AF"/>
    <w:rsid w:val="0072303D"/>
    <w:rsid w:val="00725D06"/>
    <w:rsid w:val="00742976"/>
    <w:rsid w:val="00751255"/>
    <w:rsid w:val="00752452"/>
    <w:rsid w:val="0075278C"/>
    <w:rsid w:val="007562FF"/>
    <w:rsid w:val="007578EA"/>
    <w:rsid w:val="007644C2"/>
    <w:rsid w:val="007704EA"/>
    <w:rsid w:val="00770827"/>
    <w:rsid w:val="007759B1"/>
    <w:rsid w:val="00780351"/>
    <w:rsid w:val="0078412B"/>
    <w:rsid w:val="00790F45"/>
    <w:rsid w:val="00797CFE"/>
    <w:rsid w:val="00797D28"/>
    <w:rsid w:val="007A08E8"/>
    <w:rsid w:val="007A29F9"/>
    <w:rsid w:val="007A41E9"/>
    <w:rsid w:val="007A58DC"/>
    <w:rsid w:val="007A59AA"/>
    <w:rsid w:val="007A6279"/>
    <w:rsid w:val="007B05C6"/>
    <w:rsid w:val="007B0B37"/>
    <w:rsid w:val="007B2C50"/>
    <w:rsid w:val="007C08EA"/>
    <w:rsid w:val="007C56B3"/>
    <w:rsid w:val="007C6376"/>
    <w:rsid w:val="007D044A"/>
    <w:rsid w:val="007D0B57"/>
    <w:rsid w:val="007D26EA"/>
    <w:rsid w:val="007D57BE"/>
    <w:rsid w:val="007E1903"/>
    <w:rsid w:val="007E5943"/>
    <w:rsid w:val="007E5EC8"/>
    <w:rsid w:val="007E7456"/>
    <w:rsid w:val="007F078E"/>
    <w:rsid w:val="007F14A2"/>
    <w:rsid w:val="007F19D0"/>
    <w:rsid w:val="007F7882"/>
    <w:rsid w:val="008005F1"/>
    <w:rsid w:val="00800FF0"/>
    <w:rsid w:val="00801BA6"/>
    <w:rsid w:val="008039F6"/>
    <w:rsid w:val="00804977"/>
    <w:rsid w:val="008051DC"/>
    <w:rsid w:val="00806309"/>
    <w:rsid w:val="008072D1"/>
    <w:rsid w:val="00812CB2"/>
    <w:rsid w:val="0081379B"/>
    <w:rsid w:val="0081527D"/>
    <w:rsid w:val="0081642A"/>
    <w:rsid w:val="008239DE"/>
    <w:rsid w:val="00824F8D"/>
    <w:rsid w:val="008252FD"/>
    <w:rsid w:val="00825B14"/>
    <w:rsid w:val="00830C50"/>
    <w:rsid w:val="00833A03"/>
    <w:rsid w:val="00843356"/>
    <w:rsid w:val="00843A56"/>
    <w:rsid w:val="00846959"/>
    <w:rsid w:val="0084789A"/>
    <w:rsid w:val="00857D6E"/>
    <w:rsid w:val="008614C3"/>
    <w:rsid w:val="00865C8B"/>
    <w:rsid w:val="008734E6"/>
    <w:rsid w:val="0087520B"/>
    <w:rsid w:val="00877DEB"/>
    <w:rsid w:val="008816F3"/>
    <w:rsid w:val="00881E78"/>
    <w:rsid w:val="00882891"/>
    <w:rsid w:val="00883555"/>
    <w:rsid w:val="00883627"/>
    <w:rsid w:val="008925D3"/>
    <w:rsid w:val="00897022"/>
    <w:rsid w:val="008978EB"/>
    <w:rsid w:val="00897B40"/>
    <w:rsid w:val="008A0857"/>
    <w:rsid w:val="008A1EC2"/>
    <w:rsid w:val="008A32D4"/>
    <w:rsid w:val="008A3E49"/>
    <w:rsid w:val="008A483A"/>
    <w:rsid w:val="008A5777"/>
    <w:rsid w:val="008B1B88"/>
    <w:rsid w:val="008B2145"/>
    <w:rsid w:val="008B2CBA"/>
    <w:rsid w:val="008B4C95"/>
    <w:rsid w:val="008B4D1A"/>
    <w:rsid w:val="008B682B"/>
    <w:rsid w:val="008B6EAD"/>
    <w:rsid w:val="008C3620"/>
    <w:rsid w:val="008C4ED7"/>
    <w:rsid w:val="008C657F"/>
    <w:rsid w:val="008C7266"/>
    <w:rsid w:val="008D16DA"/>
    <w:rsid w:val="008D424A"/>
    <w:rsid w:val="008E1C45"/>
    <w:rsid w:val="008E1FC4"/>
    <w:rsid w:val="008E2C6B"/>
    <w:rsid w:val="008F01FD"/>
    <w:rsid w:val="008F0DC1"/>
    <w:rsid w:val="008F342F"/>
    <w:rsid w:val="008F7873"/>
    <w:rsid w:val="00900DF6"/>
    <w:rsid w:val="009019F2"/>
    <w:rsid w:val="009048EA"/>
    <w:rsid w:val="00907B5D"/>
    <w:rsid w:val="00907F44"/>
    <w:rsid w:val="00910826"/>
    <w:rsid w:val="009111A5"/>
    <w:rsid w:val="00912AAA"/>
    <w:rsid w:val="009216CA"/>
    <w:rsid w:val="00921A24"/>
    <w:rsid w:val="0092363E"/>
    <w:rsid w:val="00923A8A"/>
    <w:rsid w:val="00924A7B"/>
    <w:rsid w:val="00924C18"/>
    <w:rsid w:val="00931413"/>
    <w:rsid w:val="0093228A"/>
    <w:rsid w:val="00932BC1"/>
    <w:rsid w:val="00934C1D"/>
    <w:rsid w:val="00935243"/>
    <w:rsid w:val="00940CA3"/>
    <w:rsid w:val="00941A0A"/>
    <w:rsid w:val="00942911"/>
    <w:rsid w:val="00946460"/>
    <w:rsid w:val="00947F59"/>
    <w:rsid w:val="00954D68"/>
    <w:rsid w:val="00960411"/>
    <w:rsid w:val="0096700E"/>
    <w:rsid w:val="00973CD2"/>
    <w:rsid w:val="00976D44"/>
    <w:rsid w:val="00983E4A"/>
    <w:rsid w:val="0099429B"/>
    <w:rsid w:val="00994A2A"/>
    <w:rsid w:val="009977BD"/>
    <w:rsid w:val="009A3078"/>
    <w:rsid w:val="009A36C1"/>
    <w:rsid w:val="009A434F"/>
    <w:rsid w:val="009A74BB"/>
    <w:rsid w:val="009B1CDB"/>
    <w:rsid w:val="009B37FC"/>
    <w:rsid w:val="009B593D"/>
    <w:rsid w:val="009C21F7"/>
    <w:rsid w:val="009C292B"/>
    <w:rsid w:val="009C3609"/>
    <w:rsid w:val="009D0C14"/>
    <w:rsid w:val="009D2FEA"/>
    <w:rsid w:val="009D3041"/>
    <w:rsid w:val="009D462F"/>
    <w:rsid w:val="009D507E"/>
    <w:rsid w:val="009E2CDE"/>
    <w:rsid w:val="009E4FFC"/>
    <w:rsid w:val="009E549D"/>
    <w:rsid w:val="009E6710"/>
    <w:rsid w:val="009E7ACE"/>
    <w:rsid w:val="009F096B"/>
    <w:rsid w:val="009F6E57"/>
    <w:rsid w:val="00A05351"/>
    <w:rsid w:val="00A07ED0"/>
    <w:rsid w:val="00A11DA2"/>
    <w:rsid w:val="00A20906"/>
    <w:rsid w:val="00A20E34"/>
    <w:rsid w:val="00A25899"/>
    <w:rsid w:val="00A32BBE"/>
    <w:rsid w:val="00A3327A"/>
    <w:rsid w:val="00A40A2A"/>
    <w:rsid w:val="00A44F3D"/>
    <w:rsid w:val="00A50F35"/>
    <w:rsid w:val="00A52998"/>
    <w:rsid w:val="00A566F2"/>
    <w:rsid w:val="00A60956"/>
    <w:rsid w:val="00A626B5"/>
    <w:rsid w:val="00A62F34"/>
    <w:rsid w:val="00A722AE"/>
    <w:rsid w:val="00A72566"/>
    <w:rsid w:val="00A82DDA"/>
    <w:rsid w:val="00A85DD7"/>
    <w:rsid w:val="00A86B7A"/>
    <w:rsid w:val="00A870BC"/>
    <w:rsid w:val="00A93C03"/>
    <w:rsid w:val="00A95256"/>
    <w:rsid w:val="00A95328"/>
    <w:rsid w:val="00AA05D5"/>
    <w:rsid w:val="00AA41A6"/>
    <w:rsid w:val="00AA557A"/>
    <w:rsid w:val="00AA678A"/>
    <w:rsid w:val="00AA701C"/>
    <w:rsid w:val="00AB23F5"/>
    <w:rsid w:val="00AB24E6"/>
    <w:rsid w:val="00AB3A69"/>
    <w:rsid w:val="00AB481F"/>
    <w:rsid w:val="00AB5318"/>
    <w:rsid w:val="00AB5EE9"/>
    <w:rsid w:val="00AC5393"/>
    <w:rsid w:val="00AC7B87"/>
    <w:rsid w:val="00AD009B"/>
    <w:rsid w:val="00AD3F1D"/>
    <w:rsid w:val="00AD7B00"/>
    <w:rsid w:val="00AE070E"/>
    <w:rsid w:val="00AE0C26"/>
    <w:rsid w:val="00AE3261"/>
    <w:rsid w:val="00AE64B4"/>
    <w:rsid w:val="00AE6D82"/>
    <w:rsid w:val="00AF3E7B"/>
    <w:rsid w:val="00B007DD"/>
    <w:rsid w:val="00B0491D"/>
    <w:rsid w:val="00B05692"/>
    <w:rsid w:val="00B06386"/>
    <w:rsid w:val="00B128CA"/>
    <w:rsid w:val="00B15014"/>
    <w:rsid w:val="00B22A3E"/>
    <w:rsid w:val="00B22A5E"/>
    <w:rsid w:val="00B24D2E"/>
    <w:rsid w:val="00B26DB3"/>
    <w:rsid w:val="00B31135"/>
    <w:rsid w:val="00B35050"/>
    <w:rsid w:val="00B402E9"/>
    <w:rsid w:val="00B4311A"/>
    <w:rsid w:val="00B46C96"/>
    <w:rsid w:val="00B47058"/>
    <w:rsid w:val="00B519BB"/>
    <w:rsid w:val="00B640EE"/>
    <w:rsid w:val="00B64634"/>
    <w:rsid w:val="00B766C2"/>
    <w:rsid w:val="00B76C18"/>
    <w:rsid w:val="00B80769"/>
    <w:rsid w:val="00B8289E"/>
    <w:rsid w:val="00B83786"/>
    <w:rsid w:val="00B873B8"/>
    <w:rsid w:val="00B913D5"/>
    <w:rsid w:val="00B914F1"/>
    <w:rsid w:val="00B91FD7"/>
    <w:rsid w:val="00BA1E23"/>
    <w:rsid w:val="00BA1E95"/>
    <w:rsid w:val="00BA4682"/>
    <w:rsid w:val="00BA5CC5"/>
    <w:rsid w:val="00BA7988"/>
    <w:rsid w:val="00BB02A3"/>
    <w:rsid w:val="00BB177C"/>
    <w:rsid w:val="00BB6F73"/>
    <w:rsid w:val="00BB7122"/>
    <w:rsid w:val="00BB72FD"/>
    <w:rsid w:val="00BC22D1"/>
    <w:rsid w:val="00BC4999"/>
    <w:rsid w:val="00BD0DC5"/>
    <w:rsid w:val="00BD4556"/>
    <w:rsid w:val="00BD459A"/>
    <w:rsid w:val="00BE679B"/>
    <w:rsid w:val="00BE723D"/>
    <w:rsid w:val="00BF5817"/>
    <w:rsid w:val="00BF5896"/>
    <w:rsid w:val="00C02FAD"/>
    <w:rsid w:val="00C076CE"/>
    <w:rsid w:val="00C16C5C"/>
    <w:rsid w:val="00C22465"/>
    <w:rsid w:val="00C22616"/>
    <w:rsid w:val="00C2569A"/>
    <w:rsid w:val="00C3033E"/>
    <w:rsid w:val="00C3124E"/>
    <w:rsid w:val="00C3426F"/>
    <w:rsid w:val="00C345B3"/>
    <w:rsid w:val="00C34763"/>
    <w:rsid w:val="00C35C93"/>
    <w:rsid w:val="00C360B3"/>
    <w:rsid w:val="00C36AF3"/>
    <w:rsid w:val="00C43182"/>
    <w:rsid w:val="00C44442"/>
    <w:rsid w:val="00C44FD3"/>
    <w:rsid w:val="00C467C9"/>
    <w:rsid w:val="00C53687"/>
    <w:rsid w:val="00C55C80"/>
    <w:rsid w:val="00C55CFC"/>
    <w:rsid w:val="00C61A2F"/>
    <w:rsid w:val="00C66C01"/>
    <w:rsid w:val="00C726C4"/>
    <w:rsid w:val="00C72CAF"/>
    <w:rsid w:val="00C8298C"/>
    <w:rsid w:val="00C844A8"/>
    <w:rsid w:val="00C907E7"/>
    <w:rsid w:val="00C948A2"/>
    <w:rsid w:val="00C95578"/>
    <w:rsid w:val="00C955C5"/>
    <w:rsid w:val="00C96B55"/>
    <w:rsid w:val="00C97234"/>
    <w:rsid w:val="00CA060F"/>
    <w:rsid w:val="00CA18E9"/>
    <w:rsid w:val="00CB0ACA"/>
    <w:rsid w:val="00CB2938"/>
    <w:rsid w:val="00CB2E43"/>
    <w:rsid w:val="00CB61A2"/>
    <w:rsid w:val="00CB6A51"/>
    <w:rsid w:val="00CC0A1F"/>
    <w:rsid w:val="00CC308C"/>
    <w:rsid w:val="00CC40ED"/>
    <w:rsid w:val="00CD0315"/>
    <w:rsid w:val="00CD0419"/>
    <w:rsid w:val="00CD27D5"/>
    <w:rsid w:val="00CD65DF"/>
    <w:rsid w:val="00CE1EE1"/>
    <w:rsid w:val="00CE716D"/>
    <w:rsid w:val="00D0213E"/>
    <w:rsid w:val="00D05CB0"/>
    <w:rsid w:val="00D06CE1"/>
    <w:rsid w:val="00D125AE"/>
    <w:rsid w:val="00D13A68"/>
    <w:rsid w:val="00D15522"/>
    <w:rsid w:val="00D175B9"/>
    <w:rsid w:val="00D2033B"/>
    <w:rsid w:val="00D23636"/>
    <w:rsid w:val="00D23C90"/>
    <w:rsid w:val="00D23FF1"/>
    <w:rsid w:val="00D24F07"/>
    <w:rsid w:val="00D25D81"/>
    <w:rsid w:val="00D30599"/>
    <w:rsid w:val="00D347B3"/>
    <w:rsid w:val="00D4088C"/>
    <w:rsid w:val="00D41E76"/>
    <w:rsid w:val="00D43D78"/>
    <w:rsid w:val="00D44A5C"/>
    <w:rsid w:val="00D52557"/>
    <w:rsid w:val="00D535BA"/>
    <w:rsid w:val="00D542B5"/>
    <w:rsid w:val="00D54575"/>
    <w:rsid w:val="00D65918"/>
    <w:rsid w:val="00D67E82"/>
    <w:rsid w:val="00D74774"/>
    <w:rsid w:val="00D75E9B"/>
    <w:rsid w:val="00D76050"/>
    <w:rsid w:val="00D76B63"/>
    <w:rsid w:val="00D7762F"/>
    <w:rsid w:val="00D817D6"/>
    <w:rsid w:val="00D82507"/>
    <w:rsid w:val="00D852EE"/>
    <w:rsid w:val="00D90E64"/>
    <w:rsid w:val="00D91ABE"/>
    <w:rsid w:val="00D92A24"/>
    <w:rsid w:val="00D94456"/>
    <w:rsid w:val="00D9705E"/>
    <w:rsid w:val="00DA39B9"/>
    <w:rsid w:val="00DA53AC"/>
    <w:rsid w:val="00DB70C0"/>
    <w:rsid w:val="00DC32DE"/>
    <w:rsid w:val="00DC33B1"/>
    <w:rsid w:val="00DC5472"/>
    <w:rsid w:val="00DC5B49"/>
    <w:rsid w:val="00DD0746"/>
    <w:rsid w:val="00DD0850"/>
    <w:rsid w:val="00DE084A"/>
    <w:rsid w:val="00DE4A7D"/>
    <w:rsid w:val="00DF4509"/>
    <w:rsid w:val="00DF52E9"/>
    <w:rsid w:val="00DF6408"/>
    <w:rsid w:val="00DF69A5"/>
    <w:rsid w:val="00E03192"/>
    <w:rsid w:val="00E035F7"/>
    <w:rsid w:val="00E0394F"/>
    <w:rsid w:val="00E05103"/>
    <w:rsid w:val="00E05966"/>
    <w:rsid w:val="00E10A1A"/>
    <w:rsid w:val="00E11AEB"/>
    <w:rsid w:val="00E1460E"/>
    <w:rsid w:val="00E162CE"/>
    <w:rsid w:val="00E25AF3"/>
    <w:rsid w:val="00E27205"/>
    <w:rsid w:val="00E278CA"/>
    <w:rsid w:val="00E3144D"/>
    <w:rsid w:val="00E335D4"/>
    <w:rsid w:val="00E3453B"/>
    <w:rsid w:val="00E34E2E"/>
    <w:rsid w:val="00E628DA"/>
    <w:rsid w:val="00E636AE"/>
    <w:rsid w:val="00E65F42"/>
    <w:rsid w:val="00E71326"/>
    <w:rsid w:val="00E7310B"/>
    <w:rsid w:val="00E77000"/>
    <w:rsid w:val="00E84CE6"/>
    <w:rsid w:val="00E87657"/>
    <w:rsid w:val="00E95830"/>
    <w:rsid w:val="00EA55BE"/>
    <w:rsid w:val="00EB158C"/>
    <w:rsid w:val="00EB20FD"/>
    <w:rsid w:val="00EB38B6"/>
    <w:rsid w:val="00EC6A7A"/>
    <w:rsid w:val="00ED228B"/>
    <w:rsid w:val="00ED5B68"/>
    <w:rsid w:val="00EE544C"/>
    <w:rsid w:val="00EE63A9"/>
    <w:rsid w:val="00EE6840"/>
    <w:rsid w:val="00EF306E"/>
    <w:rsid w:val="00EF3FE7"/>
    <w:rsid w:val="00EF7A37"/>
    <w:rsid w:val="00EF7C13"/>
    <w:rsid w:val="00F05C3A"/>
    <w:rsid w:val="00F07767"/>
    <w:rsid w:val="00F132F0"/>
    <w:rsid w:val="00F1438D"/>
    <w:rsid w:val="00F216FA"/>
    <w:rsid w:val="00F24114"/>
    <w:rsid w:val="00F31698"/>
    <w:rsid w:val="00F3482D"/>
    <w:rsid w:val="00F3577A"/>
    <w:rsid w:val="00F4416B"/>
    <w:rsid w:val="00F441D8"/>
    <w:rsid w:val="00F44890"/>
    <w:rsid w:val="00F448C9"/>
    <w:rsid w:val="00F51DC9"/>
    <w:rsid w:val="00F52D94"/>
    <w:rsid w:val="00F55743"/>
    <w:rsid w:val="00F55921"/>
    <w:rsid w:val="00F55AB7"/>
    <w:rsid w:val="00F55BD2"/>
    <w:rsid w:val="00F562D5"/>
    <w:rsid w:val="00F56456"/>
    <w:rsid w:val="00F57396"/>
    <w:rsid w:val="00F607C8"/>
    <w:rsid w:val="00F627CD"/>
    <w:rsid w:val="00F76D45"/>
    <w:rsid w:val="00F80A65"/>
    <w:rsid w:val="00F84D68"/>
    <w:rsid w:val="00F93E37"/>
    <w:rsid w:val="00F94146"/>
    <w:rsid w:val="00F96661"/>
    <w:rsid w:val="00FA0D56"/>
    <w:rsid w:val="00FA2D65"/>
    <w:rsid w:val="00FA33DE"/>
    <w:rsid w:val="00FA6034"/>
    <w:rsid w:val="00FB0773"/>
    <w:rsid w:val="00FB0C62"/>
    <w:rsid w:val="00FB1E0E"/>
    <w:rsid w:val="00FB28AF"/>
    <w:rsid w:val="00FB426E"/>
    <w:rsid w:val="00FC2156"/>
    <w:rsid w:val="00FC5151"/>
    <w:rsid w:val="00FC53CE"/>
    <w:rsid w:val="00FC5DBC"/>
    <w:rsid w:val="00FC78A0"/>
    <w:rsid w:val="00FD06BA"/>
    <w:rsid w:val="00FD3595"/>
    <w:rsid w:val="00FE2E42"/>
    <w:rsid w:val="00FE7327"/>
    <w:rsid w:val="00FF065F"/>
    <w:rsid w:val="00FF0A8D"/>
    <w:rsid w:val="00FF2174"/>
    <w:rsid w:val="00FF3A76"/>
    <w:rsid w:val="00FF4230"/>
    <w:rsid w:val="00FF66AC"/>
    <w:rsid w:val="00FF6E4E"/>
    <w:rsid w:val="00FF6EB2"/>
    <w:rsid w:val="00FF71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C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79F"/>
    <w:pPr>
      <w:spacing w:before="220" w:after="80"/>
      <w:ind w:firstLine="274"/>
    </w:pPr>
    <w:rPr>
      <w:rFonts w:ascii="Palatino" w:hAnsi="Palatino"/>
      <w:sz w:val="18"/>
    </w:rPr>
  </w:style>
  <w:style w:type="paragraph" w:styleId="Heading1">
    <w:name w:val="heading 1"/>
    <w:next w:val="Paragraph"/>
    <w:link w:val="Heading1Char"/>
    <w:autoRedefine/>
    <w:uiPriority w:val="9"/>
    <w:qFormat/>
    <w:rsid w:val="008005F1"/>
    <w:pPr>
      <w:keepNext/>
      <w:keepLines/>
      <w:spacing w:before="200" w:after="20"/>
      <w:outlineLvl w:val="0"/>
    </w:pPr>
    <w:rPr>
      <w:rFonts w:ascii="Helvetica" w:eastAsiaTheme="majorEastAsia" w:hAnsi="Helvetica" w:cstheme="majorBidi"/>
      <w:b/>
      <w:caps/>
      <w:sz w:val="18"/>
      <w:szCs w:val="32"/>
    </w:rPr>
  </w:style>
  <w:style w:type="paragraph" w:styleId="Heading2">
    <w:name w:val="heading 2"/>
    <w:basedOn w:val="Heading1"/>
    <w:next w:val="Paragraph"/>
    <w:link w:val="Heading2Char"/>
    <w:autoRedefine/>
    <w:qFormat/>
    <w:rsid w:val="008005F1"/>
    <w:pPr>
      <w:spacing w:before="120"/>
      <w:jc w:val="both"/>
      <w:outlineLvl w:val="1"/>
    </w:pPr>
    <w:rPr>
      <w:rFonts w:eastAsia="Times New Roman" w:cs="Times New Roman"/>
      <w:caps w:val="0"/>
      <w:kern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E723D"/>
    <w:pPr>
      <w:spacing w:before="0" w:after="200"/>
      <w:jc w:val="center"/>
    </w:pPr>
    <w:rPr>
      <w:rFonts w:ascii="Helvetica" w:hAnsi="Helvetica"/>
      <w:b/>
      <w:szCs w:val="18"/>
    </w:rPr>
  </w:style>
  <w:style w:type="character" w:customStyle="1" w:styleId="Heading2Char">
    <w:name w:val="Heading 2 Char"/>
    <w:basedOn w:val="DefaultParagraphFont"/>
    <w:link w:val="Heading2"/>
    <w:rsid w:val="008005F1"/>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8005F1"/>
    <w:rPr>
      <w:rFonts w:ascii="Helvetica" w:eastAsiaTheme="majorEastAsia" w:hAnsi="Helvetica" w:cstheme="majorBidi"/>
      <w:b/>
      <w:caps/>
      <w:sz w:val="18"/>
      <w:szCs w:val="32"/>
    </w:rPr>
  </w:style>
  <w:style w:type="paragraph" w:styleId="ListParagraph">
    <w:name w:val="List Paragraph"/>
    <w:basedOn w:val="Normal"/>
    <w:uiPriority w:val="34"/>
    <w:qFormat/>
    <w:rsid w:val="00AA05D5"/>
    <w:pPr>
      <w:ind w:left="720"/>
      <w:contextualSpacing/>
    </w:pPr>
  </w:style>
  <w:style w:type="paragraph" w:styleId="DocumentMap">
    <w:name w:val="Document Map"/>
    <w:basedOn w:val="Normal"/>
    <w:link w:val="DocumentMapChar"/>
    <w:uiPriority w:val="99"/>
    <w:semiHidden/>
    <w:unhideWhenUsed/>
    <w:rsid w:val="00833A03"/>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833A03"/>
    <w:rPr>
      <w:rFonts w:ascii="Times New Roman" w:hAnsi="Times New Roman" w:cs="Times New Roman"/>
    </w:rPr>
  </w:style>
  <w:style w:type="table" w:styleId="TableGrid">
    <w:name w:val="Table Grid"/>
    <w:basedOn w:val="TableNormal"/>
    <w:uiPriority w:val="39"/>
    <w:rsid w:val="00664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84789A"/>
  </w:style>
  <w:style w:type="paragraph" w:styleId="Title">
    <w:name w:val="Title"/>
    <w:next w:val="Normal"/>
    <w:link w:val="TitleChar"/>
    <w:uiPriority w:val="10"/>
    <w:qFormat/>
    <w:rsid w:val="002B58C1"/>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2B58C1"/>
    <w:rPr>
      <w:rFonts w:ascii="Helvetica" w:eastAsiaTheme="majorEastAsia" w:hAnsi="Helvetica" w:cstheme="majorBidi"/>
      <w:b/>
      <w:bCs/>
      <w:spacing w:val="-10"/>
      <w:kern w:val="28"/>
      <w:sz w:val="56"/>
      <w:szCs w:val="56"/>
    </w:rPr>
  </w:style>
  <w:style w:type="paragraph" w:customStyle="1" w:styleId="Paragraph">
    <w:name w:val="Paragraph"/>
    <w:autoRedefine/>
    <w:qFormat/>
    <w:rsid w:val="00770827"/>
    <w:pPr>
      <w:ind w:firstLine="245"/>
    </w:pPr>
    <w:rPr>
      <w:rFonts w:ascii="Palatino" w:hAnsi="Palatino"/>
      <w:sz w:val="18"/>
      <w:szCs w:val="22"/>
    </w:rPr>
  </w:style>
  <w:style w:type="character" w:styleId="CommentReference">
    <w:name w:val="annotation reference"/>
    <w:basedOn w:val="DefaultParagraphFont"/>
    <w:uiPriority w:val="99"/>
    <w:semiHidden/>
    <w:unhideWhenUsed/>
    <w:rsid w:val="001045F1"/>
    <w:rPr>
      <w:sz w:val="18"/>
      <w:szCs w:val="18"/>
    </w:rPr>
  </w:style>
  <w:style w:type="paragraph" w:styleId="CommentText">
    <w:name w:val="annotation text"/>
    <w:basedOn w:val="Normal"/>
    <w:link w:val="CommentTextChar"/>
    <w:uiPriority w:val="99"/>
    <w:semiHidden/>
    <w:unhideWhenUsed/>
    <w:rsid w:val="001045F1"/>
    <w:rPr>
      <w:sz w:val="24"/>
    </w:rPr>
  </w:style>
  <w:style w:type="character" w:customStyle="1" w:styleId="CommentTextChar">
    <w:name w:val="Comment Text Char"/>
    <w:basedOn w:val="DefaultParagraphFont"/>
    <w:link w:val="CommentText"/>
    <w:uiPriority w:val="99"/>
    <w:semiHidden/>
    <w:rsid w:val="001045F1"/>
    <w:rPr>
      <w:rFonts w:ascii="Palatino" w:hAnsi="Palatino"/>
    </w:rPr>
  </w:style>
  <w:style w:type="paragraph" w:styleId="CommentSubject">
    <w:name w:val="annotation subject"/>
    <w:basedOn w:val="CommentText"/>
    <w:next w:val="CommentText"/>
    <w:link w:val="CommentSubjectChar"/>
    <w:uiPriority w:val="99"/>
    <w:semiHidden/>
    <w:unhideWhenUsed/>
    <w:rsid w:val="001045F1"/>
    <w:rPr>
      <w:b/>
      <w:bCs/>
      <w:sz w:val="20"/>
      <w:szCs w:val="20"/>
    </w:rPr>
  </w:style>
  <w:style w:type="character" w:customStyle="1" w:styleId="CommentSubjectChar">
    <w:name w:val="Comment Subject Char"/>
    <w:basedOn w:val="CommentTextChar"/>
    <w:link w:val="CommentSubject"/>
    <w:uiPriority w:val="99"/>
    <w:semiHidden/>
    <w:rsid w:val="001045F1"/>
    <w:rPr>
      <w:rFonts w:ascii="Palatino" w:hAnsi="Palatino"/>
      <w:b/>
      <w:bCs/>
      <w:sz w:val="20"/>
      <w:szCs w:val="20"/>
    </w:rPr>
  </w:style>
  <w:style w:type="paragraph" w:styleId="BalloonText">
    <w:name w:val="Balloon Text"/>
    <w:basedOn w:val="Normal"/>
    <w:link w:val="BalloonTextChar"/>
    <w:uiPriority w:val="99"/>
    <w:semiHidden/>
    <w:unhideWhenUsed/>
    <w:rsid w:val="001045F1"/>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045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01043">
      <w:bodyDiv w:val="1"/>
      <w:marLeft w:val="0"/>
      <w:marRight w:val="0"/>
      <w:marTop w:val="0"/>
      <w:marBottom w:val="0"/>
      <w:divBdr>
        <w:top w:val="none" w:sz="0" w:space="0" w:color="auto"/>
        <w:left w:val="none" w:sz="0" w:space="0" w:color="auto"/>
        <w:bottom w:val="none" w:sz="0" w:space="0" w:color="auto"/>
        <w:right w:val="none" w:sz="0" w:space="0" w:color="auto"/>
      </w:divBdr>
    </w:div>
    <w:div w:id="226033939">
      <w:bodyDiv w:val="1"/>
      <w:marLeft w:val="0"/>
      <w:marRight w:val="0"/>
      <w:marTop w:val="0"/>
      <w:marBottom w:val="0"/>
      <w:divBdr>
        <w:top w:val="none" w:sz="0" w:space="0" w:color="auto"/>
        <w:left w:val="none" w:sz="0" w:space="0" w:color="auto"/>
        <w:bottom w:val="none" w:sz="0" w:space="0" w:color="auto"/>
        <w:right w:val="none" w:sz="0" w:space="0" w:color="auto"/>
      </w:divBdr>
    </w:div>
    <w:div w:id="997339514">
      <w:bodyDiv w:val="1"/>
      <w:marLeft w:val="0"/>
      <w:marRight w:val="0"/>
      <w:marTop w:val="0"/>
      <w:marBottom w:val="0"/>
      <w:divBdr>
        <w:top w:val="none" w:sz="0" w:space="0" w:color="auto"/>
        <w:left w:val="none" w:sz="0" w:space="0" w:color="auto"/>
        <w:bottom w:val="none" w:sz="0" w:space="0" w:color="auto"/>
        <w:right w:val="none" w:sz="0" w:space="0" w:color="auto"/>
      </w:divBdr>
    </w:div>
    <w:div w:id="1047296178">
      <w:bodyDiv w:val="1"/>
      <w:marLeft w:val="0"/>
      <w:marRight w:val="0"/>
      <w:marTop w:val="0"/>
      <w:marBottom w:val="0"/>
      <w:divBdr>
        <w:top w:val="none" w:sz="0" w:space="0" w:color="auto"/>
        <w:left w:val="none" w:sz="0" w:space="0" w:color="auto"/>
        <w:bottom w:val="none" w:sz="0" w:space="0" w:color="auto"/>
        <w:right w:val="none" w:sz="0" w:space="0" w:color="auto"/>
      </w:divBdr>
    </w:div>
    <w:div w:id="1089473345">
      <w:bodyDiv w:val="1"/>
      <w:marLeft w:val="0"/>
      <w:marRight w:val="0"/>
      <w:marTop w:val="0"/>
      <w:marBottom w:val="0"/>
      <w:divBdr>
        <w:top w:val="none" w:sz="0" w:space="0" w:color="auto"/>
        <w:left w:val="none" w:sz="0" w:space="0" w:color="auto"/>
        <w:bottom w:val="none" w:sz="0" w:space="0" w:color="auto"/>
        <w:right w:val="none" w:sz="0" w:space="0" w:color="auto"/>
      </w:divBdr>
    </w:div>
    <w:div w:id="1157963432">
      <w:bodyDiv w:val="1"/>
      <w:marLeft w:val="0"/>
      <w:marRight w:val="0"/>
      <w:marTop w:val="0"/>
      <w:marBottom w:val="0"/>
      <w:divBdr>
        <w:top w:val="none" w:sz="0" w:space="0" w:color="auto"/>
        <w:left w:val="none" w:sz="0" w:space="0" w:color="auto"/>
        <w:bottom w:val="none" w:sz="0" w:space="0" w:color="auto"/>
        <w:right w:val="none" w:sz="0" w:space="0" w:color="auto"/>
      </w:divBdr>
    </w:div>
    <w:div w:id="1177111562">
      <w:bodyDiv w:val="1"/>
      <w:marLeft w:val="0"/>
      <w:marRight w:val="0"/>
      <w:marTop w:val="0"/>
      <w:marBottom w:val="0"/>
      <w:divBdr>
        <w:top w:val="none" w:sz="0" w:space="0" w:color="auto"/>
        <w:left w:val="none" w:sz="0" w:space="0" w:color="auto"/>
        <w:bottom w:val="none" w:sz="0" w:space="0" w:color="auto"/>
        <w:right w:val="none" w:sz="0" w:space="0" w:color="auto"/>
      </w:divBdr>
    </w:div>
    <w:div w:id="1256865172">
      <w:bodyDiv w:val="1"/>
      <w:marLeft w:val="0"/>
      <w:marRight w:val="0"/>
      <w:marTop w:val="0"/>
      <w:marBottom w:val="0"/>
      <w:divBdr>
        <w:top w:val="none" w:sz="0" w:space="0" w:color="auto"/>
        <w:left w:val="none" w:sz="0" w:space="0" w:color="auto"/>
        <w:bottom w:val="none" w:sz="0" w:space="0" w:color="auto"/>
        <w:right w:val="none" w:sz="0" w:space="0" w:color="auto"/>
      </w:divBdr>
    </w:div>
    <w:div w:id="1436829071">
      <w:bodyDiv w:val="1"/>
      <w:marLeft w:val="0"/>
      <w:marRight w:val="0"/>
      <w:marTop w:val="0"/>
      <w:marBottom w:val="0"/>
      <w:divBdr>
        <w:top w:val="none" w:sz="0" w:space="0" w:color="auto"/>
        <w:left w:val="none" w:sz="0" w:space="0" w:color="auto"/>
        <w:bottom w:val="none" w:sz="0" w:space="0" w:color="auto"/>
        <w:right w:val="none" w:sz="0" w:space="0" w:color="auto"/>
      </w:divBdr>
    </w:div>
    <w:div w:id="1689019179">
      <w:bodyDiv w:val="1"/>
      <w:marLeft w:val="0"/>
      <w:marRight w:val="0"/>
      <w:marTop w:val="0"/>
      <w:marBottom w:val="0"/>
      <w:divBdr>
        <w:top w:val="none" w:sz="0" w:space="0" w:color="auto"/>
        <w:left w:val="none" w:sz="0" w:space="0" w:color="auto"/>
        <w:bottom w:val="none" w:sz="0" w:space="0" w:color="auto"/>
        <w:right w:val="none" w:sz="0" w:space="0" w:color="auto"/>
      </w:divBdr>
    </w:div>
    <w:div w:id="1999308376">
      <w:bodyDiv w:val="1"/>
      <w:marLeft w:val="0"/>
      <w:marRight w:val="0"/>
      <w:marTop w:val="0"/>
      <w:marBottom w:val="0"/>
      <w:divBdr>
        <w:top w:val="none" w:sz="0" w:space="0" w:color="auto"/>
        <w:left w:val="none" w:sz="0" w:space="0" w:color="auto"/>
        <w:bottom w:val="none" w:sz="0" w:space="0" w:color="auto"/>
        <w:right w:val="none" w:sz="0" w:space="0" w:color="auto"/>
      </w:divBdr>
    </w:div>
    <w:div w:id="2091922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Bor</b:Tag>
    <b:SourceType>ConferenceProceedings</b:SourceType>
    <b:Guid>{CAD575A6-7640-E24A-A72F-98FF7F475AD7}</b:Guid>
    <b:Title>Batching, Error Checking and Data Collecting: Understanding Data Entry in a Financial Office</b:Title>
    <b:City>Sheffield, UK</b:City>
    <b:Author>
      <b:Author>
        <b:NameList>
          <b:Person>
            <b:Last>Borghouts</b:Last>
            <b:First>Judith</b:First>
          </b:Person>
          <b:Person>
            <b:Last>Brumby</b:Last>
            <b:First>Duncan</b:First>
          </b:Person>
          <b:Person>
            <b:Last>Cox</b:Last>
            <b:First>Anna</b:First>
          </b:Person>
        </b:NameList>
      </b:Author>
    </b:Author>
    <b:ConferenceName>Proceedings of the 15th European Conference on Computer-Supported Work</b:ConferenceName>
    <b:Year>2017</b:Year>
    <b:RefOrder>1</b:RefOrder>
  </b:Source>
  <b:Source>
    <b:Tag>Gon04</b:Tag>
    <b:SourceType>ConferenceProceedings</b:SourceType>
    <b:Guid>{09A18790-9177-BC43-AC3D-A99ADDB18798}</b:Guid>
    <b:Author>
      <b:Author>
        <b:NameList>
          <b:Person>
            <b:Last>Gonzalez</b:Last>
            <b:First>Victor</b:First>
            <b:Middle>M</b:Middle>
          </b:Person>
          <b:Person>
            <b:Last>Mark</b:Last>
            <b:First>Gloria</b:First>
          </b:Person>
        </b:NameList>
      </b:Author>
    </b:Author>
    <b:Title>Constant, constant, multi-tasking craziness</b:Title>
    <b:ConferenceName>Proceedings of the SIGCHI Conference on Human Factors in Computing Systems (CHI'04)</b:ConferenceName>
    <b:Year>2004</b:Year>
    <b:Pages>113-120</b:Pages>
    <b:RefOrder>2</b:RefOrder>
  </b:Source>
  <b:Source>
    <b:Tag>Man18</b:Tag>
    <b:SourceType>InternetSite</b:SourceType>
    <b:Guid>{8719A2F6-BAE2-584B-ADD6-A0D166F31999}</b:Guid>
    <b:Year>2018</b:Year>
    <b:InternetSiteTitle>ManicTime</b:InternetSiteTitle>
    <b:URL>https://www.manictime.com</b:URL>
    <b:Month>1</b:Month>
    <b:Day>8</b:Day>
    <b:RefOrder>3</b:RefOrder>
  </b:Source>
</b:Sources>
</file>

<file path=customXml/itemProps1.xml><?xml version="1.0" encoding="utf-8"?>
<ds:datastoreItem xmlns:ds="http://schemas.openxmlformats.org/officeDocument/2006/customXml" ds:itemID="{5DB86BBC-7AE5-E247-9B83-E29DB8C7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5</Pages>
  <Words>5984</Words>
  <Characters>31958</Characters>
  <Application>Microsoft Macintosh Word</Application>
  <DocSecurity>0</DocSecurity>
  <Lines>819</Lines>
  <Paragraphs>143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Method</vt:lpstr>
      <vt:lpstr>    Participants</vt:lpstr>
      <vt:lpstr>    Design</vt:lpstr>
      <vt:lpstr>    Materials</vt:lpstr>
      <vt:lpstr>    Procedure</vt:lpstr>
      <vt:lpstr>Results</vt:lpstr>
      <vt:lpstr>Discussion</vt:lpstr>
      <vt:lpstr>References</vt:lpstr>
    </vt:vector>
  </TitlesOfParts>
  <LinksUpToDate>false</LinksUpToDate>
  <CharactersWithSpaces>37799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Judith Borghouts</cp:lastModifiedBy>
  <cp:revision>690</cp:revision>
  <dcterms:created xsi:type="dcterms:W3CDTF">2017-12-20T14:27:00Z</dcterms:created>
  <dcterms:modified xsi:type="dcterms:W3CDTF">2018-02-21T16:20:00Z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