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Capital One: Explainability in AI-Driven Finance</w:t>
      </w:r>
    </w:p>
    <w:p>
      <w:r>
        <w:rPr>
          <w:b/>
          <w:bCs/>
        </w:rPr>
        <w:t xml:space="preserve">Week 2: Tree-Based Predictions</w:t>
      </w:r>
    </w:p>
    <w:p/>
    <w:p>
      <w:pPr>
        <w:pStyle w:val="Heading2"/>
      </w:pPr>
      <w:r>
        <w:t xml:space="preserve">The Situation</w:t>
      </w:r>
    </w:p>
    <w:p>
      <w:pPr>
        <w:spacing w:after="200"/>
      </w:pPr>
      <w:r>
        <w:t xml:space="preserve">Capital One, founded in 1988, pioneered the use of data analytics in consumer banking. Today, the company uses machine learning across nearly every facet of its business—from credit underwriting to fraud detection to anti-money laundering (AML) compliance. But in highly regulated financial services, raw predictive accuracy isn't the only goal.</w:t>
      </w:r>
    </w:p>
    <w:p>
      <w:pPr>
        <w:spacing w:after="200"/>
      </w:pPr>
      <w:r>
        <w:t xml:space="preserve">When Capital One's data science team built an AML detection system, they evaluated multiple model architectures: logistic regression, XGBoost, random forests, and recurrent neural networks. XGBoost and neural networks delivered marginally higher accuracy. But the team ultimately chose random forest—not because it was most accurate, but because it offered the best balance of accuracy, performance, and explainability.</w:t>
      </w:r>
    </w:p>
    <w:p>
      <w:pPr>
        <w:spacing w:after="200"/>
      </w:pPr>
      <w:r>
        <w:t xml:space="preserve">The choice reflects a fundamental tension in financial AI. Regulations like the Equal Credit Opportunity Act (ECOA) and Fair Credit Reporting Act (FCRA) require lenders to explain adverse decisions to consumers. If someone is denied credit, they're entitled to understand why. A black-box model that simply outputs "deny" without interpretable reasoning creates legal and ethical problems.</w:t>
      </w:r>
    </w:p>
    <w:p>
      <w:pPr>
        <w:spacing w:after="200"/>
      </w:pPr>
      <w:r>
        <w:t xml:space="preserve">Random forests, while less interpretable than simple linear models, provide clear feature importance rankings and allow analysts to trace decision paths through individual trees. This transparency enables compliance teams to validate that the model isn't relying on prohibited factors and to generate explanations that satisfy regulatory requirements.</w:t>
      </w:r>
    </w:p>
    <w:p>
      <w:pPr>
        <w:spacing w:after="200"/>
      </w:pPr>
      <w:r>
        <w:t xml:space="preserve">Capital One's approach illustrates a broader industry pattern: the most powerful model isn't always the right choice. In domains where decisions affect people's lives and require explanation, interpretability can outweigh marginal gains in accuracy. The company has invested heavily in model governance, using techniques like synthetic data generation and open-source tools to maintain transparency while still leveraging advanced ML.</w:t>
      </w:r>
    </w:p>
    <w:p/>
    <w:p>
      <w:pPr>
        <w:pStyle w:val="Heading2"/>
      </w:pPr>
      <w:r>
        <w:t xml:space="preserve">Discussion Questions</w:t>
      </w:r>
    </w:p>
    <w:p>
      <w:pPr>
        <w:spacing w:after="120"/>
      </w:pPr>
      <w:r>
        <w:rPr>
          <w:b/>
          <w:bCs/>
        </w:rPr>
        <w:t xml:space="preserve">Question 1</w:t>
      </w:r>
    </w:p>
    <w:p>
      <w:pPr>
        <w:spacing w:after="240"/>
      </w:pPr>
      <w:r>
        <w:t xml:space="preserve">Capital One chose random forest over XGBoost despite XGBoost achieving higher accuracy. When is it appropriate to sacrifice accuracy for interpretability?</w:t>
      </w:r>
    </w:p>
    <w:p>
      <w:pPr>
        <w:spacing w:after="120"/>
      </w:pPr>
      <w:r>
        <w:rPr>
          <w:b/>
          <w:bCs/>
        </w:rPr>
        <w:t xml:space="preserve">Question 2</w:t>
      </w:r>
    </w:p>
    <w:p>
      <w:pPr>
        <w:spacing w:after="240"/>
      </w:pPr>
      <w:r>
        <w:t xml:space="preserve">ECOA and FCRA require explanations for adverse credit decisions. How do these regulations shape the design of ML systems in finance?</w:t>
      </w:r>
    </w:p>
    <w:p>
      <w:pPr>
        <w:spacing w:after="120"/>
      </w:pPr>
      <w:r>
        <w:rPr>
          <w:b/>
          <w:bCs/>
        </w:rPr>
        <w:t xml:space="preserve">Question 3</w:t>
      </w:r>
    </w:p>
    <w:p>
      <w:pPr>
        <w:spacing w:after="240"/>
      </w:pPr>
      <w:r>
        <w:t xml:space="preserve">What are the risks of using highly accurate but uninterpretable models in regulated industries?</w:t>
      </w:r>
    </w:p>
    <w:p>
      <w:pPr>
        <w:spacing w:after="120"/>
      </w:pPr>
      <w:r>
        <w:rPr>
          <w:b/>
          <w:bCs/>
        </w:rPr>
        <w:t xml:space="preserve">Question 4</w:t>
      </w:r>
    </w:p>
    <w:p>
      <w:pPr>
        <w:spacing w:after="240"/>
      </w:pPr>
      <w:r>
        <w:t xml:space="preserve">How might advances in explainable AI (XAI) change the accuracy-interpretability tradeoff in the future?</w:t>
      </w:r>
    </w:p>
    <w:p/>
    <w:p>
      <w:pPr>
        <w:pStyle w:val="Heading2"/>
      </w:pPr>
      <w:r>
        <w:t xml:space="preserve">Sources</w:t>
      </w:r>
    </w:p>
    <w:p>
      <w:pPr>
        <w:pStyle w:val="ListParagraph"/>
        <w:numPr>
          <w:ilvl w:val="0"/>
          <w:numId w:val="2"/>
        </w:numPr>
        <w:spacing w:after="80"/>
      </w:pPr>
      <w:r>
        <w:t xml:space="preserve">"How Machine Learning Can Help Fight Money Laundering." Capital One Tech Blog. </w:t>
      </w:r>
      <w:hyperlink w:history="1" r:id="rId4bnch3aa4oqcdbfzu6fuu">
        <w:r>
          <w:rPr>
            <w:color w:val="0563C1"/>
            <w:u w:val="single"/>
          </w:rPr>
          <w:t xml:space="preserve">capitalone.com</w:t>
        </w:r>
      </w:hyperlink>
    </w:p>
    <w:p>
      <w:pPr>
        <w:pStyle w:val="ListParagraph"/>
        <w:numPr>
          <w:ilvl w:val="0"/>
          <w:numId w:val="2"/>
        </w:numPr>
        <w:spacing w:after="80"/>
      </w:pPr>
      <w:r>
        <w:t xml:space="preserve">"How Machine Learning Can Help Fight Money Laundering." Capital One Tech on Medium. </w:t>
      </w:r>
      <w:hyperlink w:history="1" r:id="rIdmd1xeeg-1lsbqkll4pads">
        <w:r>
          <w:rPr>
            <w:color w:val="0563C1"/>
            <w:u w:val="single"/>
          </w:rPr>
          <w:t xml:space="preserve">medium.com</w:t>
        </w:r>
      </w:hyperlink>
    </w:p>
    <w:p>
      <w:pPr>
        <w:pStyle w:val="ListParagraph"/>
        <w:numPr>
          <w:ilvl w:val="0"/>
          <w:numId w:val="2"/>
        </w:numPr>
        <w:spacing w:after="80"/>
      </w:pPr>
      <w:r>
        <w:t xml:space="preserve">"Adverse Action Notice Compliance for Creditors Using AI." American Bar Association, November 2023. </w:t>
      </w:r>
      <w:hyperlink w:history="1" r:id="rIdbsg7br06_sf-7wmjs2mvk">
        <w:r>
          <w:rPr>
            <w:color w:val="0563C1"/>
            <w:u w:val="single"/>
          </w:rPr>
          <w:t xml:space="preserve">americanbar.org</w:t>
        </w:r>
      </w:hyperlink>
    </w:p>
    <w:p>
      <w:pPr>
        <w:pStyle w:val="ListParagraph"/>
        <w:numPr>
          <w:ilvl w:val="0"/>
          <w:numId w:val="2"/>
        </w:numPr>
        <w:spacing w:after="80"/>
      </w:pPr>
      <w:r>
        <w:t xml:space="preserve">"Innovation Spotlight: Providing Adverse Action Notices When Using AI/ML Models." CFPB Blog. </w:t>
      </w:r>
      <w:hyperlink w:history="1" r:id="rIdbvsovsgjxl8jhyzb-n2uy">
        <w:r>
          <w:rPr>
            <w:color w:val="0563C1"/>
            <w:u w:val="single"/>
          </w:rPr>
          <w:t xml:space="preserve">consumerfinance.gov</w:t>
        </w:r>
      </w:hyperlink>
    </w:p>
    <w:p>
      <w:pPr>
        <w:pStyle w:val="ListParagraph"/>
        <w:numPr>
          <w:ilvl w:val="0"/>
          <w:numId w:val="2"/>
        </w:numPr>
        <w:spacing w:after="80"/>
      </w:pPr>
      <w:r>
        <w:t xml:space="preserve">"Machine Learning in Credit Assessment at Capital One." Harvard Digital Innovation. </w:t>
      </w:r>
      <w:hyperlink w:history="1" r:id="rIdul84und2c3nya6ibid2dp">
        <w:r>
          <w:rPr>
            <w:color w:val="0563C1"/>
            <w:u w:val="single"/>
          </w:rPr>
          <w:t xml:space="preserve">d3.harvard.edu</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bnch3aa4oqcdbfzu6fuu" Type="http://schemas.openxmlformats.org/officeDocument/2006/relationships/hyperlink" Target="https://www.capitalone.com/tech/machine-learning/how-machine-learning-can-help-fight-money-laundering/" TargetMode="External"/><Relationship Id="rIdmd1xeeg-1lsbqkll4pads" Type="http://schemas.openxmlformats.org/officeDocument/2006/relationships/hyperlink" Target="https://medium.com/capital-one-tech/how-machine-learning-can-help-fight-money-laundering-d22d8bed7cbc" TargetMode="External"/><Relationship Id="rIdbsg7br06_sf-7wmjs2mvk" Type="http://schemas.openxmlformats.org/officeDocument/2006/relationships/hyperlink" Target="https://www.americanbar.org/groups/business_law/resources/business-law-today/2023-november/adverse-action-notice-compliance-considerations-for-creditors-that-use-ai/" TargetMode="External"/><Relationship Id="rIdbvsovsgjxl8jhyzb-n2uy" Type="http://schemas.openxmlformats.org/officeDocument/2006/relationships/hyperlink" Target="https://www.consumerfinance.gov/about-us/blog/innovation-spotlight-providing-adverse-action-notices-when-using-ai-ml-models/" TargetMode="External"/><Relationship Id="rIdul84und2c3nya6ibid2dp" Type="http://schemas.openxmlformats.org/officeDocument/2006/relationships/hyperlink" Target="https://d3.harvard.edu/platform-rctom/submission/machine-learning-in-credit-assessment-at-capital-one/"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2026-01-22T19:22:10.152Z</dcterms:created>
  <dcterms:modified xsi:type="dcterms:W3CDTF">2026-01-22T19:22:10.152Z</dcterms:modified>
</cp:coreProperties>
</file>

<file path=docProps/custom.xml><?xml version="1.0" encoding="utf-8"?>
<Properties xmlns="http://schemas.openxmlformats.org/officeDocument/2006/custom-properties" xmlns:vt="http://schemas.openxmlformats.org/officeDocument/2006/docPropsVTypes"/>
</file>