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pBdr>
          <w:bottom w:val="single" w:sz="6" w:space="0" w:color="FFD100"/>
        </w:pBdr>
      </w:pPr>
      <w:r>
        <w:rPr>
          <w:i/>
          <w:color w:val="666666"/>
          <w:sz w:val="16"/>
        </w:rPr>
        <w:t>MGMT298D: Science and Strategy of AI | UCLA Anderson</w:t>
      </w:r>
    </w:p>
    <w:p>
      <w:pPr>
        <w:pStyle w:val="Heading1"/>
      </w:pPr>
      <w:r>
        <w:rPr>
          <w:b w:val="0"/>
          <w:i/>
          <w:color w:val="000000"/>
          <w:sz w:val="22"/>
        </w:rPr>
        <w:t>Assignment 7</w:t>
      </w:r>
      <w:r>
        <w:rPr>
          <w:b w:val="0"/>
          <w:color w:val="000000"/>
          <w:sz w:val="32"/>
        </w:rPr>
        <w:br/>
      </w:r>
      <w:r>
        <w:rPr>
          <w:color w:val="005587"/>
          <w:sz w:val="32"/>
        </w:rPr>
        <w:t>Retrieval-Augmented Generation (RAG)</w:t>
      </w:r>
      <w:r>
        <w:rPr>
          <w:b w:val="0"/>
          <w:color w:val="000000"/>
          <w:sz w:val="32"/>
        </w:rPr>
        <w:br/>
      </w:r>
      <w:r>
        <w:rPr>
          <w:b w:val="0"/>
          <w:i/>
          <w:color w:val="000000"/>
          <w:sz w:val="24"/>
        </w:rPr>
        <w:t>10-K Due Diligence</w:t>
      </w:r>
    </w:p>
    <w:p>
      <w:pPr/>
    </w:p>
    <w:p>
      <w:pPr>
        <w:pStyle w:val="Heading3"/>
      </w:pPr>
      <w:r>
        <w:rPr>
          <w:color w:val="156082"/>
          <w:sz w:val="20"/>
        </w:rPr>
        <w:t>Overview.</w:t>
      </w:r>
      <w:r>
        <w:rPr>
          <w:b w:val="0"/>
          <w:color w:val="156082"/>
          <w:sz w:val="20"/>
        </w:rPr>
        <w:t xml:space="preserve"> </w:t>
      </w:r>
      <w:r>
        <w:rPr>
          <w:b w:val="0"/>
          <w:color w:val="000000"/>
          <w:sz w:val="20"/>
        </w:rPr>
        <w:t>In this assignment, you will use retrieval-augmented generation (RAG) to compare two real robotics and autonomy companies: Luminar Technologies, Inc. and Ouster, Inc. Both companies build LiDAR-based sensing technologies for autonomy-related markets, but they differ in customer focus, strategy, and risk profile. A Form 10-K is an annual report filed with the SEC that summarizes a public company's business, risk factors, financial condition, and management discussion. In due diligence, analysts use 10-Ks to ground their judgments in official company disclosures. The purpose of this assignment is to see how RAG can help an analyst retrieve relevant evidence from long filings, compare companies, and separate grounded analysis from model guesswork.</w:t>
      </w:r>
    </w:p>
    <w:p>
      <w:pPr/>
    </w:p>
    <w:p>
      <w:pPr/>
    </w:p>
    <w:p>
      <w:pPr>
        <w:pStyle w:val="Heading3"/>
      </w:pPr>
      <w:r>
        <w:rPr>
          <w:color w:val="156082"/>
          <w:sz w:val="20"/>
        </w:rPr>
        <w:t>Instructions.</w:t>
      </w:r>
      <w:r>
        <w:rPr>
          <w:b w:val="0"/>
          <w:color w:val="156082"/>
          <w:sz w:val="20"/>
        </w:rPr>
        <w:t xml:space="preserve"> </w:t>
      </w:r>
      <w:r>
        <w:rPr>
          <w:b w:val="0"/>
          <w:color w:val="000000"/>
          <w:sz w:val="20"/>
        </w:rPr>
        <w:t>Use the Week 7 web app to upload the Luminar and Ouster 10-K filings. Ask the same due diligence questions across both companies, inspect the retrieved chunks, and answer the questions below. Stick to 3 sentences maximum per question. Upload your responses to BruinLearn as a PDF.</w:t>
      </w:r>
    </w:p>
    <w:p>
      <w:pPr/>
    </w:p>
    <w:p>
      <w:pPr/>
    </w:p>
    <w:p>
      <w:pPr>
        <w:pStyle w:val="Heading3"/>
      </w:pPr>
      <w:r>
        <w:rPr>
          <w:color w:val="156082"/>
          <w:sz w:val="20"/>
        </w:rPr>
        <w:t>Question 1.</w:t>
      </w:r>
      <w:r>
        <w:rPr>
          <w:b w:val="0"/>
          <w:color w:val="156082"/>
          <w:sz w:val="20"/>
        </w:rPr>
        <w:t xml:space="preserve"> </w:t>
      </w:r>
      <w:r>
        <w:rPr>
          <w:b w:val="0"/>
          <w:color w:val="000000"/>
          <w:sz w:val="20"/>
        </w:rPr>
        <w:t>Company Positioning. Use the RAG app to compare Ouster and Luminar. Based on the filings, what markets or customers does each company appear to be targeting? How are their strategies similar, and how are they different?</w:t>
      </w:r>
    </w:p>
    <w:p>
      <w:pPr/>
    </w:p>
    <w:p>
      <w:pPr/>
    </w:p>
    <w:p>
      <w:pPr/>
    </w:p>
    <w:p>
      <w:pPr/>
    </w:p>
    <w:p>
      <w:pPr/>
    </w:p>
    <w:p>
      <w:pPr/>
    </w:p>
    <w:p>
      <w:pPr/>
    </w:p>
    <w:p>
      <w:pPr>
        <w:pStyle w:val="Heading3"/>
      </w:pPr>
      <w:r>
        <w:rPr>
          <w:color w:val="156082"/>
          <w:sz w:val="20"/>
        </w:rPr>
        <w:t>Question 2.</w:t>
      </w:r>
      <w:r>
        <w:rPr>
          <w:b w:val="0"/>
          <w:color w:val="156082"/>
          <w:sz w:val="20"/>
        </w:rPr>
        <w:t xml:space="preserve"> </w:t>
      </w:r>
      <w:r>
        <w:rPr>
          <w:b w:val="0"/>
          <w:color w:val="000000"/>
          <w:sz w:val="20"/>
        </w:rPr>
        <w:t>Risk Factors. Ask the app about the major risk factors for both companies. What risks do Ouster and Luminar share as LiDAR/autonomy companies? What risks seem more specific to one company?</w:t>
      </w:r>
    </w:p>
    <w:p>
      <w:pPr/>
    </w:p>
    <w:p>
      <w:pPr/>
    </w:p>
    <w:p>
      <w:pPr/>
    </w:p>
    <w:p>
      <w:pPr/>
    </w:p>
    <w:p>
      <w:pPr/>
    </w:p>
    <w:p>
      <w:pPr/>
    </w:p>
    <w:p>
      <w:pPr>
        <w:pStyle w:val="Heading3"/>
      </w:pPr>
    </w:p>
    <w:p>
      <w:pPr>
        <w:pStyle w:val="Heading3"/>
      </w:pPr>
      <w:r>
        <w:rPr>
          <w:color w:val="156082"/>
          <w:sz w:val="20"/>
        </w:rPr>
        <w:t>Question 3.</w:t>
      </w:r>
      <w:r>
        <w:rPr>
          <w:b w:val="0"/>
          <w:color w:val="156082"/>
          <w:sz w:val="20"/>
        </w:rPr>
        <w:t xml:space="preserve"> </w:t>
      </w:r>
      <w:r>
        <w:rPr>
          <w:b w:val="0"/>
          <w:color w:val="000000"/>
          <w:sz w:val="20"/>
        </w:rPr>
        <w:t>RAG vs. Zero-Shot. Choose one due diligence question and compare the zero-shot response with the RAG response. What does the zero-shot answer get right or wrong? How does grounding the answer in the 10-K improve the analysis?</w:t>
      </w:r>
    </w:p>
    <w:p>
      <w:pPr/>
    </w:p>
    <w:p>
      <w:pPr/>
    </w:p>
    <w:p>
      <w:pPr/>
    </w:p>
    <w:p>
      <w:pPr/>
    </w:p>
    <w:p>
      <w:pPr/>
    </w:p>
    <w:p>
      <w:pPr/>
    </w:p>
    <w:p>
      <w:pPr/>
    </w:p>
    <w:p>
      <w:pPr>
        <w:pStyle w:val="Heading3"/>
      </w:pPr>
      <w:r>
        <w:rPr>
          <w:color w:val="156082"/>
          <w:sz w:val="20"/>
        </w:rPr>
        <w:t>Question 4.</w:t>
      </w:r>
      <w:r>
        <w:rPr>
          <w:b w:val="0"/>
          <w:color w:val="156082"/>
          <w:sz w:val="20"/>
        </w:rPr>
        <w:t xml:space="preserve"> </w:t>
      </w:r>
      <w:r>
        <w:rPr>
          <w:b w:val="0"/>
          <w:color w:val="000000"/>
          <w:sz w:val="20"/>
        </w:rPr>
        <w:t>Analyst Recommendation. Based on the RAG output and retrieved chunks, which company appears better positioned for the next 12-24 months? Make a short analyst-style recommendation and explain what evidence supports it. Also identify one important question you would still need to investigate outside the 10-K.</w:t>
      </w:r>
    </w:p>
    <w:p>
      <w:pPr/>
    </w:p>
    <w:p>
      <w:pPr/>
    </w:p>
    <w:p>
      <w:pPr/>
    </w:p>
    <w:p>
      <w:pPr/>
    </w:p>
    <w:p>
      <w:pPr/>
    </w:p>
    <w:p>
      <w:pPr/>
    </w:p>
    <w:sectPr w:rsidR="00A42FA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Whitney Bold">
    <w:altName w:val="Whitney"/>
    <w:panose1 w:val="00000000000000000000"/>
    <w:charset w:val="00"/>
    <w:family w:val="auto"/>
    <w:notTrueType/>
    <w:pitch w:val="variable"/>
    <w:sig w:usb0="A100007F" w:usb1="4000005B" w:usb2="00000000" w:usb3="00000000" w:csb0="0000009B"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5B5AEB"/>
    <w:multiLevelType w:val="hybridMultilevel"/>
    <w:tmpl w:val="4BDCC744"/>
    <w:lvl w:ilvl="0" w:tplc="11507C5A">
      <w:start w:val="1"/>
      <w:numFmt w:val="bullet"/>
      <w:lvlText w:val="●"/>
      <w:lvlJc w:val="left"/>
      <w:pPr>
        <w:ind w:left="720" w:hanging="360"/>
      </w:pPr>
    </w:lvl>
    <w:lvl w:ilvl="1" w:tplc="F36ADF30">
      <w:start w:val="1"/>
      <w:numFmt w:val="bullet"/>
      <w:lvlText w:val="○"/>
      <w:lvlJc w:val="left"/>
      <w:pPr>
        <w:ind w:left="1440" w:hanging="360"/>
      </w:pPr>
    </w:lvl>
    <w:lvl w:ilvl="2" w:tplc="B0B0CB90">
      <w:start w:val="1"/>
      <w:numFmt w:val="bullet"/>
      <w:lvlText w:val="■"/>
      <w:lvlJc w:val="left"/>
      <w:pPr>
        <w:ind w:left="2160" w:hanging="360"/>
      </w:pPr>
    </w:lvl>
    <w:lvl w:ilvl="3" w:tplc="C9A2F7C4">
      <w:start w:val="1"/>
      <w:numFmt w:val="bullet"/>
      <w:lvlText w:val="●"/>
      <w:lvlJc w:val="left"/>
      <w:pPr>
        <w:ind w:left="2880" w:hanging="360"/>
      </w:pPr>
    </w:lvl>
    <w:lvl w:ilvl="4" w:tplc="E286B66A">
      <w:start w:val="1"/>
      <w:numFmt w:val="bullet"/>
      <w:lvlText w:val="○"/>
      <w:lvlJc w:val="left"/>
      <w:pPr>
        <w:ind w:left="3600" w:hanging="360"/>
      </w:pPr>
    </w:lvl>
    <w:lvl w:ilvl="5" w:tplc="A3C89DEC">
      <w:start w:val="1"/>
      <w:numFmt w:val="bullet"/>
      <w:lvlText w:val="■"/>
      <w:lvlJc w:val="left"/>
      <w:pPr>
        <w:ind w:left="4320" w:hanging="360"/>
      </w:pPr>
    </w:lvl>
    <w:lvl w:ilvl="6" w:tplc="FFDA10B0">
      <w:start w:val="1"/>
      <w:numFmt w:val="bullet"/>
      <w:lvlText w:val="●"/>
      <w:lvlJc w:val="left"/>
      <w:pPr>
        <w:ind w:left="5040" w:hanging="360"/>
      </w:pPr>
    </w:lvl>
    <w:lvl w:ilvl="7" w:tplc="AE267C40">
      <w:start w:val="1"/>
      <w:numFmt w:val="bullet"/>
      <w:lvlText w:val="●"/>
      <w:lvlJc w:val="left"/>
      <w:pPr>
        <w:ind w:left="5760" w:hanging="360"/>
      </w:pPr>
    </w:lvl>
    <w:lvl w:ilvl="8" w:tplc="2A30E6E6">
      <w:start w:val="1"/>
      <w:numFmt w:val="bullet"/>
      <w:lvlText w:val="●"/>
      <w:lvlJc w:val="left"/>
      <w:pPr>
        <w:ind w:left="6480" w:hanging="360"/>
      </w:pPr>
    </w:lvl>
  </w:abstractNum>
  <w:num w:numId="1" w16cid:durableId="11184551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78A4"/>
    <w:rsid w:val="000017FD"/>
    <w:rsid w:val="00027229"/>
    <w:rsid w:val="00033B67"/>
    <w:rsid w:val="000376BD"/>
    <w:rsid w:val="00041EC5"/>
    <w:rsid w:val="00061C3C"/>
    <w:rsid w:val="000778A4"/>
    <w:rsid w:val="00093156"/>
    <w:rsid w:val="000A2431"/>
    <w:rsid w:val="000B7AD5"/>
    <w:rsid w:val="000E3541"/>
    <w:rsid w:val="00101946"/>
    <w:rsid w:val="00164CE7"/>
    <w:rsid w:val="00166D20"/>
    <w:rsid w:val="001A0269"/>
    <w:rsid w:val="001C390E"/>
    <w:rsid w:val="00246072"/>
    <w:rsid w:val="00260F51"/>
    <w:rsid w:val="0027310E"/>
    <w:rsid w:val="00275B6A"/>
    <w:rsid w:val="002C6D68"/>
    <w:rsid w:val="0037417C"/>
    <w:rsid w:val="00377DBB"/>
    <w:rsid w:val="003A7D66"/>
    <w:rsid w:val="00456C50"/>
    <w:rsid w:val="00474BD0"/>
    <w:rsid w:val="004B6AA5"/>
    <w:rsid w:val="004C7E57"/>
    <w:rsid w:val="005915CA"/>
    <w:rsid w:val="0059408F"/>
    <w:rsid w:val="005A0672"/>
    <w:rsid w:val="005A2E4A"/>
    <w:rsid w:val="005B39FD"/>
    <w:rsid w:val="005C6B45"/>
    <w:rsid w:val="00636199"/>
    <w:rsid w:val="00652B77"/>
    <w:rsid w:val="006978A9"/>
    <w:rsid w:val="006B4283"/>
    <w:rsid w:val="006B4BC4"/>
    <w:rsid w:val="006E3C52"/>
    <w:rsid w:val="007152B5"/>
    <w:rsid w:val="00733FAC"/>
    <w:rsid w:val="00754666"/>
    <w:rsid w:val="00776C67"/>
    <w:rsid w:val="007B797E"/>
    <w:rsid w:val="007E664C"/>
    <w:rsid w:val="007E6FF9"/>
    <w:rsid w:val="00801288"/>
    <w:rsid w:val="00804ECF"/>
    <w:rsid w:val="00816E3B"/>
    <w:rsid w:val="00822239"/>
    <w:rsid w:val="00824C10"/>
    <w:rsid w:val="00831B21"/>
    <w:rsid w:val="00837A8B"/>
    <w:rsid w:val="00852DBB"/>
    <w:rsid w:val="008658B5"/>
    <w:rsid w:val="00872E98"/>
    <w:rsid w:val="008B39EC"/>
    <w:rsid w:val="008B6678"/>
    <w:rsid w:val="008C78AA"/>
    <w:rsid w:val="008F5C72"/>
    <w:rsid w:val="0092192D"/>
    <w:rsid w:val="0092345C"/>
    <w:rsid w:val="00924934"/>
    <w:rsid w:val="00934AE5"/>
    <w:rsid w:val="0095413E"/>
    <w:rsid w:val="00972E50"/>
    <w:rsid w:val="009A7709"/>
    <w:rsid w:val="009C6512"/>
    <w:rsid w:val="009E3C3D"/>
    <w:rsid w:val="009E3DF2"/>
    <w:rsid w:val="009E4E1C"/>
    <w:rsid w:val="00A212E2"/>
    <w:rsid w:val="00A22531"/>
    <w:rsid w:val="00A42FA1"/>
    <w:rsid w:val="00A61896"/>
    <w:rsid w:val="00AB3355"/>
    <w:rsid w:val="00AC46F8"/>
    <w:rsid w:val="00AF4B30"/>
    <w:rsid w:val="00B36C44"/>
    <w:rsid w:val="00B47E86"/>
    <w:rsid w:val="00B6507B"/>
    <w:rsid w:val="00B75A1D"/>
    <w:rsid w:val="00B82DDD"/>
    <w:rsid w:val="00B906CB"/>
    <w:rsid w:val="00BC6405"/>
    <w:rsid w:val="00BD0840"/>
    <w:rsid w:val="00BD3553"/>
    <w:rsid w:val="00BE22A2"/>
    <w:rsid w:val="00BF1A92"/>
    <w:rsid w:val="00C16C5F"/>
    <w:rsid w:val="00C91A0C"/>
    <w:rsid w:val="00C94AF5"/>
    <w:rsid w:val="00CC0335"/>
    <w:rsid w:val="00CC21B2"/>
    <w:rsid w:val="00CC265E"/>
    <w:rsid w:val="00CD15C7"/>
    <w:rsid w:val="00CE4E7D"/>
    <w:rsid w:val="00D30EEB"/>
    <w:rsid w:val="00D418F8"/>
    <w:rsid w:val="00D526E6"/>
    <w:rsid w:val="00D87D3B"/>
    <w:rsid w:val="00DA3AC5"/>
    <w:rsid w:val="00DC31E6"/>
    <w:rsid w:val="00DF08B8"/>
    <w:rsid w:val="00E56C13"/>
    <w:rsid w:val="00E712C1"/>
    <w:rsid w:val="00E92EFA"/>
    <w:rsid w:val="00EA2ADC"/>
    <w:rsid w:val="00F07461"/>
    <w:rsid w:val="00FA0AD6"/>
    <w:rsid w:val="00FB6D30"/>
    <w:rsid w:val="00FB7564"/>
    <w:rsid w:val="00FC1FD1"/>
    <w:rsid w:val="00FD1008"/>
    <w:rsid w:val="00FD61AF"/>
    <w:rsid w:val="00FE5D98"/>
    <w:rsid w:val="00FF62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0B0D8F"/>
  <w15:docId w15:val="{83EC7EE0-B66E-B942-9AE4-D316799416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color w:val="333333"/>
    </w:rPr>
  </w:style>
  <w:style w:type="paragraph" w:styleId="Heading1">
    <w:name w:val="heading 1"/>
    <w:basedOn w:val="Normal"/>
    <w:next w:val="Normal"/>
    <w:uiPriority w:val="9"/>
    <w:qFormat/>
    <w:pPr>
      <w:spacing w:before="360" w:after="240"/>
      <w:outlineLvl w:val="0"/>
    </w:pPr>
    <w:rPr>
      <w:rFonts w:ascii="Whitney Bold" w:eastAsia="Whitney Bold" w:hAnsi="Whitney Bold" w:cs="Whitney Bold"/>
      <w:b/>
      <w:bCs/>
      <w:color w:val="005587"/>
      <w:sz w:val="36"/>
      <w:szCs w:val="36"/>
    </w:rPr>
  </w:style>
  <w:style w:type="paragraph" w:styleId="Heading2">
    <w:name w:val="heading 2"/>
    <w:basedOn w:val="Normal"/>
    <w:next w:val="Normal"/>
    <w:uiPriority w:val="9"/>
    <w:unhideWhenUsed/>
    <w:qFormat/>
    <w:pPr>
      <w:spacing w:before="300" w:after="180"/>
      <w:outlineLvl w:val="1"/>
    </w:pPr>
    <w:rPr>
      <w:rFonts w:ascii="Whitney Bold" w:eastAsia="Whitney Bold" w:hAnsi="Whitney Bold" w:cs="Whitney Bold"/>
      <w:b/>
      <w:bCs/>
      <w:color w:val="005587"/>
      <w:sz w:val="28"/>
      <w:szCs w:val="28"/>
    </w:rPr>
  </w:style>
  <w:style w:type="paragraph" w:styleId="Heading3">
    <w:name w:val="heading 3"/>
    <w:basedOn w:val="Normal"/>
    <w:next w:val="Normal"/>
    <w:uiPriority w:val="9"/>
    <w:unhideWhenUsed/>
    <w:qFormat/>
    <w:pPr>
      <w:spacing w:before="240" w:after="120"/>
      <w:outlineLvl w:val="2"/>
    </w:pPr>
    <w:rPr>
      <w:b/>
      <w:bCs/>
      <w:color w:val="005587"/>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EA2ADC"/>
    <w:rPr>
      <w:color w:val="605E5C"/>
      <w:shd w:val="clear" w:color="auto" w:fill="E1DFDD"/>
    </w:rPr>
  </w:style>
  <w:style w:type="character" w:styleId="FollowedHyperlink">
    <w:name w:val="FollowedHyperlink"/>
    <w:basedOn w:val="DefaultParagraphFont"/>
    <w:uiPriority w:val="99"/>
    <w:semiHidden/>
    <w:unhideWhenUsed/>
    <w:rsid w:val="00CC033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ucla-ssai-week6.up.railway.a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251</Words>
  <Characters>1436</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Siddiq, Auyon</cp:lastModifiedBy>
  <cp:revision>20</cp:revision>
  <cp:lastPrinted>2026-04-26T21:34:00Z</cp:lastPrinted>
  <dcterms:created xsi:type="dcterms:W3CDTF">2026-04-26T21:34:00Z</dcterms:created>
  <dcterms:modified xsi:type="dcterms:W3CDTF">2026-05-03T20:12:00Z</dcterms:modified>
</cp:coreProperties>
</file>