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nv8ysj2jz9" w:id="0"/>
      <w:bookmarkEnd w:id="0"/>
      <w:r w:rsidDel="00000000" w:rsidR="00000000" w:rsidRPr="00000000">
        <w:rPr>
          <w:rtl w:val="0"/>
        </w:rPr>
        <w:t xml:space="preserve">Evaluation Criteria &amp; Scales </w:t>
      </w:r>
    </w:p>
    <w:p w:rsidR="00000000" w:rsidDel="00000000" w:rsidP="00000000" w:rsidRDefault="00000000" w:rsidRPr="00000000" w14:paraId="00000002">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To help evaluate lesson proposals for the </w:t>
      </w:r>
      <w:hyperlink r:id="rId7">
        <w:r w:rsidDel="00000000" w:rsidR="00000000" w:rsidRPr="00000000">
          <w:rPr>
            <w:rFonts w:ascii="Proxima Nova" w:cs="Proxima Nova" w:eastAsia="Proxima Nova" w:hAnsi="Proxima Nova"/>
            <w:color w:val="1155cc"/>
            <w:sz w:val="24"/>
            <w:szCs w:val="24"/>
            <w:u w:val="single"/>
            <w:rtl w:val="0"/>
          </w:rPr>
          <w:t xml:space="preserve">IMLS Open Science Lessons for Librarians</w:t>
        </w:r>
      </w:hyperlink>
      <w:r w:rsidDel="00000000" w:rsidR="00000000" w:rsidRPr="00000000">
        <w:rPr>
          <w:rFonts w:ascii="Proxima Nova" w:cs="Proxima Nova" w:eastAsia="Proxima Nova" w:hAnsi="Proxima Nova"/>
          <w:sz w:val="24"/>
          <w:szCs w:val="24"/>
          <w:rtl w:val="0"/>
        </w:rPr>
        <w:t xml:space="preserve"> grant, we authored these evaluation criteria for your feedback. These criteria are designed to assess components of open science education, and we value your input for improvements.</w:t>
      </w:r>
    </w:p>
    <w:p w:rsidR="00000000" w:rsidDel="00000000" w:rsidP="00000000" w:rsidRDefault="00000000" w:rsidRPr="00000000" w14:paraId="00000004">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following pages outline the 6 proposed candidate criteria, each with a definition, example, and suggest using</w:t>
      </w: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b w:val="1"/>
          <w:sz w:val="24"/>
          <w:szCs w:val="24"/>
          <w:rtl w:val="0"/>
        </w:rPr>
        <w:t xml:space="preserve">a binary 0 (No) or 1 (Yes), one continuous ranking scale from 0 (low) to 2 (high), and another continuous ranking scale from 1 (low) to 5 (high)</w:t>
      </w:r>
      <w:r w:rsidDel="00000000" w:rsidR="00000000" w:rsidRPr="00000000">
        <w:rPr>
          <w:rFonts w:ascii="Proxima Nova" w:cs="Proxima Nova" w:eastAsia="Proxima Nova" w:hAnsi="Proxima Nova"/>
          <w:b w:val="1"/>
          <w:sz w:val="24"/>
          <w:szCs w:val="24"/>
          <w:rtl w:val="0"/>
        </w:rPr>
        <w:t xml:space="preserve">.</w:t>
      </w: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06">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7">
      <w:pPr>
        <w:ind w:left="0" w:firstLine="0"/>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4"/>
          <w:szCs w:val="24"/>
          <w:rtl w:val="0"/>
        </w:rPr>
        <w:t xml:space="preserve">As a guiding principle throughout the criteria, we want to ensure that the proposals use open tools and open-sourced material. </w:t>
      </w:r>
      <w:r w:rsidDel="00000000" w:rsidR="00000000" w:rsidRPr="00000000">
        <w:rPr>
          <w:rtl w:val="0"/>
        </w:rPr>
      </w:r>
    </w:p>
    <w:p w:rsidR="00000000" w:rsidDel="00000000" w:rsidP="00000000" w:rsidRDefault="00000000" w:rsidRPr="00000000" w14:paraId="00000008">
      <w:pPr>
        <w:pStyle w:val="Heading3"/>
        <w:shd w:fill="ffffff" w:val="clear"/>
        <w:rPr/>
      </w:pPr>
      <w:bookmarkStart w:colFirst="0" w:colLast="0" w:name="_u5mfu776cl2a" w:id="1"/>
      <w:bookmarkEnd w:id="1"/>
      <w:r w:rsidDel="00000000" w:rsidR="00000000" w:rsidRPr="00000000">
        <w:rPr>
          <w:rFonts w:ascii="Proxima Nova" w:cs="Proxima Nova" w:eastAsia="Proxima Nova" w:hAnsi="Proxima Nova"/>
          <w:rtl w:val="0"/>
        </w:rPr>
        <w:t xml:space="preserve">Conflict of Interest (COI) </w:t>
      </w:r>
      <w:r w:rsidDel="00000000" w:rsidR="00000000" w:rsidRPr="00000000">
        <w:rPr>
          <w:rtl w:val="0"/>
        </w:rPr>
      </w:r>
    </w:p>
    <w:p w:rsidR="00000000" w:rsidDel="00000000" w:rsidP="00000000" w:rsidRDefault="00000000" w:rsidRPr="00000000" w14:paraId="00000009">
      <w:pPr>
        <w:numPr>
          <w:ilvl w:val="0"/>
          <w:numId w:val="1"/>
        </w:numPr>
        <w:ind w:left="720" w:hanging="360"/>
        <w:rPr>
          <w:color w:val="000000"/>
          <w:sz w:val="22"/>
          <w:szCs w:val="22"/>
        </w:rPr>
      </w:pPr>
      <w:r w:rsidDel="00000000" w:rsidR="00000000" w:rsidRPr="00000000">
        <w:rPr>
          <w:rFonts w:ascii="Proxima Nova" w:cs="Proxima Nova" w:eastAsia="Proxima Nova" w:hAnsi="Proxima Nova"/>
          <w:sz w:val="24"/>
          <w:szCs w:val="24"/>
          <w:rtl w:val="0"/>
        </w:rPr>
        <w:t xml:space="preserve">If you believe there is a conflict of interest regarding this proposal, please mark this column and refrain from rating it. Additionally, briefly describe the nature of the conflict in the "Notes" column.</w:t>
      </w:r>
      <w:r w:rsidDel="00000000" w:rsidR="00000000" w:rsidRPr="00000000">
        <w:rPr>
          <w:rtl w:val="0"/>
        </w:rPr>
      </w:r>
    </w:p>
    <w:p w:rsidR="00000000" w:rsidDel="00000000" w:rsidP="00000000" w:rsidRDefault="00000000" w:rsidRPr="00000000" w14:paraId="0000000A">
      <w:pPr>
        <w:pStyle w:val="Heading3"/>
        <w:shd w:fill="ffffff" w:val="clear"/>
        <w:rPr>
          <w:rFonts w:ascii="Proxima Nova" w:cs="Proxima Nova" w:eastAsia="Proxima Nova" w:hAnsi="Proxima Nova"/>
        </w:rPr>
      </w:pPr>
      <w:bookmarkStart w:colFirst="0" w:colLast="0" w:name="_za3cc1w0edjd" w:id="2"/>
      <w:bookmarkEnd w:id="2"/>
      <w:r w:rsidDel="00000000" w:rsidR="00000000" w:rsidRPr="00000000">
        <w:rPr>
          <w:rFonts w:ascii="Proxima Nova" w:cs="Proxima Nova" w:eastAsia="Proxima Nova" w:hAnsi="Proxima Nova"/>
          <w:rtl w:val="0"/>
        </w:rPr>
        <w:t xml:space="preserve">Diversity and Inclusion</w:t>
      </w:r>
    </w:p>
    <w:p w:rsidR="00000000" w:rsidDel="00000000" w:rsidP="00000000" w:rsidRDefault="00000000" w:rsidRPr="00000000" w14:paraId="0000000B">
      <w:pPr>
        <w:rPr/>
      </w:pPr>
      <w:r w:rsidDel="00000000" w:rsidR="00000000" w:rsidRPr="00000000">
        <w:rPr>
          <w:rtl w:val="0"/>
        </w:rPr>
        <w:t xml:space="preserve">GOALS: We aim to promote open educational materials that reflect and respect the diversity of the global community. We also aim to support equitable access and incorporate diverse perspectives to enhance our lessons' academic quality and relevance.</w:t>
      </w:r>
    </w:p>
    <w:p w:rsidR="00000000" w:rsidDel="00000000" w:rsidP="00000000" w:rsidRDefault="00000000" w:rsidRPr="00000000" w14:paraId="0000000C">
      <w:pPr>
        <w:numPr>
          <w:ilvl w:val="0"/>
          <w:numId w:val="3"/>
        </w:numPr>
        <w:ind w:left="720" w:hanging="360"/>
        <w:rPr>
          <w:u w:val="none"/>
        </w:rPr>
      </w:pPr>
      <w:r w:rsidDel="00000000" w:rsidR="00000000" w:rsidRPr="00000000">
        <w:rPr>
          <w:rFonts w:ascii="Proxima Nova" w:cs="Proxima Nova" w:eastAsia="Proxima Nova" w:hAnsi="Proxima Nova"/>
          <w:sz w:val="24"/>
          <w:szCs w:val="24"/>
          <w:rtl w:val="0"/>
        </w:rPr>
        <w:t xml:space="preserve">Is this author from an u</w:t>
      </w:r>
      <w:r w:rsidDel="00000000" w:rsidR="00000000" w:rsidRPr="00000000">
        <w:rPr>
          <w:rFonts w:ascii="Proxima Nova" w:cs="Proxima Nova" w:eastAsia="Proxima Nova" w:hAnsi="Proxima Nova"/>
          <w:sz w:val="24"/>
          <w:szCs w:val="24"/>
          <w:rtl w:val="0"/>
        </w:rPr>
        <w:t xml:space="preserve">nderrepresented group? (Pre-Rated by UCLA according to information collected)</w:t>
      </w:r>
    </w:p>
    <w:p w:rsidR="00000000" w:rsidDel="00000000" w:rsidP="00000000" w:rsidRDefault="00000000" w:rsidRPr="00000000" w14:paraId="0000000D">
      <w:pPr>
        <w:numPr>
          <w:ilvl w:val="1"/>
          <w:numId w:val="3"/>
        </w:numPr>
        <w:ind w:left="1440" w:hanging="360"/>
        <w:rPr>
          <w:u w:val="none"/>
        </w:rPr>
      </w:pPr>
      <w:r w:rsidDel="00000000" w:rsidR="00000000" w:rsidRPr="00000000">
        <w:rPr>
          <w:rFonts w:ascii="Proxima Nova" w:cs="Proxima Nova" w:eastAsia="Proxima Nova" w:hAnsi="Proxima Nova"/>
          <w:sz w:val="24"/>
          <w:szCs w:val="24"/>
          <w:rtl w:val="0"/>
        </w:rPr>
        <w:t xml:space="preserve">Underrepresented group means people belonging to certain racial or ethnic minorities, such as African Americans, Hispanic Americans, Indigenous people, or Asian American.</w:t>
      </w:r>
    </w:p>
    <w:p w:rsidR="00000000" w:rsidDel="00000000" w:rsidP="00000000" w:rsidRDefault="00000000" w:rsidRPr="00000000" w14:paraId="0000000E">
      <w:pPr>
        <w:numPr>
          <w:ilvl w:val="1"/>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1 (Yes)</w:t>
      </w:r>
    </w:p>
    <w:p w:rsidR="00000000" w:rsidDel="00000000" w:rsidP="00000000" w:rsidRDefault="00000000" w:rsidRPr="00000000" w14:paraId="0000000F">
      <w:pPr>
        <w:numPr>
          <w:ilvl w:val="1"/>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0 (No)</w:t>
      </w:r>
    </w:p>
    <w:p w:rsidR="00000000" w:rsidDel="00000000" w:rsidP="00000000" w:rsidRDefault="00000000" w:rsidRPr="00000000" w14:paraId="00000010">
      <w:pPr>
        <w:numPr>
          <w:ilvl w:val="0"/>
          <w:numId w:val="3"/>
        </w:numPr>
        <w:ind w:left="720" w:hanging="360"/>
        <w:rPr>
          <w:u w:val="none"/>
        </w:rPr>
      </w:pPr>
      <w:r w:rsidDel="00000000" w:rsidR="00000000" w:rsidRPr="00000000">
        <w:rPr>
          <w:rFonts w:ascii="Proxima Nova" w:cs="Proxima Nova" w:eastAsia="Proxima Nova" w:hAnsi="Proxima Nova"/>
          <w:sz w:val="24"/>
          <w:szCs w:val="24"/>
          <w:rtl w:val="0"/>
        </w:rPr>
        <w:t xml:space="preserve">Is this author or author group from an underrepresented institution? (Pre-Rated by UCLA according to information collected)</w:t>
      </w:r>
    </w:p>
    <w:p w:rsidR="00000000" w:rsidDel="00000000" w:rsidP="00000000" w:rsidRDefault="00000000" w:rsidRPr="00000000" w14:paraId="00000011">
      <w:pPr>
        <w:numPr>
          <w:ilvl w:val="1"/>
          <w:numId w:val="3"/>
        </w:numPr>
        <w:ind w:left="1440" w:hanging="360"/>
        <w:rPr>
          <w:u w:val="none"/>
        </w:rPr>
      </w:pPr>
      <w:r w:rsidDel="00000000" w:rsidR="00000000" w:rsidRPr="00000000">
        <w:rPr>
          <w:rFonts w:ascii="Proxima Nova" w:cs="Proxima Nova" w:eastAsia="Proxima Nova" w:hAnsi="Proxima Nova"/>
          <w:sz w:val="24"/>
          <w:szCs w:val="24"/>
          <w:rtl w:val="0"/>
        </w:rPr>
        <w:t xml:space="preserve">An underrepresented institution refers to an educational or other organizational entity that serves a population that is traditionally underrepresented in certain areas of academia, professional fields, or broader societal platforms, such as Minority-Serving Institutions, Community Colleges, Schools in Economically Disadvantaged Areas, Women’s Colleges, Vocational and Technical Institutions in Underprivileged Areas, Institutions in Rural or Remote Areas, or Schools with a High Percentage of Immigrant or Refugee Students. </w:t>
      </w:r>
    </w:p>
    <w:p w:rsidR="00000000" w:rsidDel="00000000" w:rsidP="00000000" w:rsidRDefault="00000000" w:rsidRPr="00000000" w14:paraId="00000012">
      <w:pPr>
        <w:numPr>
          <w:ilvl w:val="1"/>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(Yes)</w:t>
      </w:r>
    </w:p>
    <w:p w:rsidR="00000000" w:rsidDel="00000000" w:rsidP="00000000" w:rsidRDefault="00000000" w:rsidRPr="00000000" w14:paraId="00000013">
      <w:pPr>
        <w:numPr>
          <w:ilvl w:val="1"/>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 (No)</w:t>
      </w:r>
    </w:p>
    <w:p w:rsidR="00000000" w:rsidDel="00000000" w:rsidP="00000000" w:rsidRDefault="00000000" w:rsidRPr="00000000" w14:paraId="00000014">
      <w:pPr>
        <w:numPr>
          <w:ilvl w:val="0"/>
          <w:numId w:val="3"/>
        </w:numPr>
        <w:ind w:left="720" w:hanging="360"/>
        <w:rPr>
          <w:u w:val="none"/>
        </w:rPr>
      </w:pPr>
      <w:r w:rsidDel="00000000" w:rsidR="00000000" w:rsidRPr="00000000">
        <w:rPr>
          <w:rFonts w:ascii="Proxima Nova" w:cs="Proxima Nova" w:eastAsia="Proxima Nova" w:hAnsi="Proxima Nova"/>
          <w:sz w:val="24"/>
          <w:szCs w:val="24"/>
          <w:rtl w:val="0"/>
        </w:rPr>
        <w:t xml:space="preserve">Is the content aimed at an underrepresented audience?</w:t>
      </w:r>
    </w:p>
    <w:p w:rsidR="00000000" w:rsidDel="00000000" w:rsidP="00000000" w:rsidRDefault="00000000" w:rsidRPr="00000000" w14:paraId="00000015">
      <w:pPr>
        <w:numPr>
          <w:ilvl w:val="1"/>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Refers to a segment of the population that receives less attention, representation, or service in various spheres such as media, marketing, entertainment, politics, and business compared to the mainstream or majority groups, such as Ethnic and Racial Minorities, LGBTQ+ Community, People with Disabilities, Elderly Population, Low-Income or Economically Disadvantaged Groups, or Rural Communities.</w:t>
      </w:r>
    </w:p>
    <w:p w:rsidR="00000000" w:rsidDel="00000000" w:rsidP="00000000" w:rsidRDefault="00000000" w:rsidRPr="00000000" w14:paraId="00000016">
      <w:pPr>
        <w:numPr>
          <w:ilvl w:val="1"/>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(Yes)</w:t>
      </w:r>
    </w:p>
    <w:p w:rsidR="00000000" w:rsidDel="00000000" w:rsidP="00000000" w:rsidRDefault="00000000" w:rsidRPr="00000000" w14:paraId="00000017">
      <w:pPr>
        <w:numPr>
          <w:ilvl w:val="1"/>
          <w:numId w:val="3"/>
        </w:numPr>
        <w:ind w:left="14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0 (No)</w:t>
      </w:r>
    </w:p>
    <w:p w:rsidR="00000000" w:rsidDel="00000000" w:rsidP="00000000" w:rsidRDefault="00000000" w:rsidRPr="00000000" w14:paraId="00000018">
      <w:pPr>
        <w:numPr>
          <w:ilvl w:val="0"/>
          <w:numId w:val="3"/>
        </w:numPr>
        <w:ind w:left="720" w:hanging="360"/>
        <w:rPr>
          <w:u w:val="none"/>
        </w:rPr>
      </w:pPr>
      <w:r w:rsidDel="00000000" w:rsidR="00000000" w:rsidRPr="00000000">
        <w:rPr>
          <w:rFonts w:ascii="Proxima Nova" w:cs="Proxima Nova" w:eastAsia="Proxima Nova" w:hAnsi="Proxima Nova"/>
          <w:sz w:val="24"/>
          <w:szCs w:val="24"/>
          <w:rtl w:val="0"/>
        </w:rPr>
        <w:t xml:space="preserve">Does the content promote practices that further diversity and inclusion?</w:t>
      </w:r>
    </w:p>
    <w:p w:rsidR="00000000" w:rsidDel="00000000" w:rsidP="00000000" w:rsidRDefault="00000000" w:rsidRPr="00000000" w14:paraId="00000019">
      <w:pPr>
        <w:numPr>
          <w:ilvl w:val="1"/>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0 (Low):The lesson does not show consideration for diversity and inclusion.</w:t>
      </w:r>
    </w:p>
    <w:p w:rsidR="00000000" w:rsidDel="00000000" w:rsidP="00000000" w:rsidRDefault="00000000" w:rsidRPr="00000000" w14:paraId="0000001A">
      <w:pPr>
        <w:numPr>
          <w:ilvl w:val="1"/>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1 (Middle): The lesson demonstrates some efforts to promote diversity and inclusion.</w:t>
      </w:r>
    </w:p>
    <w:p w:rsidR="00000000" w:rsidDel="00000000" w:rsidP="00000000" w:rsidRDefault="00000000" w:rsidRPr="00000000" w14:paraId="0000001B">
      <w:pPr>
        <w:numPr>
          <w:ilvl w:val="1"/>
          <w:numId w:val="3"/>
        </w:numPr>
        <w:ind w:left="144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2 (High): The lesson strongly promotes diversity and inclusion, including content that reflects diverse perspectives, and elevating voices and perspectives from underrepresented communities.</w:t>
      </w:r>
    </w:p>
    <w:p w:rsidR="00000000" w:rsidDel="00000000" w:rsidP="00000000" w:rsidRDefault="00000000" w:rsidRPr="00000000" w14:paraId="0000001C">
      <w:pPr>
        <w:pStyle w:val="Heading3"/>
        <w:shd w:fill="ffffff" w:val="clear"/>
        <w:rPr>
          <w:rFonts w:ascii="Proxima Nova" w:cs="Proxima Nova" w:eastAsia="Proxima Nova" w:hAnsi="Proxima Nova"/>
        </w:rPr>
      </w:pPr>
      <w:bookmarkStart w:colFirst="0" w:colLast="0" w:name="_x8rd45kgtum8" w:id="3"/>
      <w:bookmarkEnd w:id="3"/>
      <w:r w:rsidDel="00000000" w:rsidR="00000000" w:rsidRPr="00000000">
        <w:rPr>
          <w:rFonts w:ascii="Proxima Nova" w:cs="Proxima Nova" w:eastAsia="Proxima Nova" w:hAnsi="Proxima Nova"/>
          <w:rtl w:val="0"/>
        </w:rPr>
        <w:t xml:space="preserve">Alignment with </w:t>
      </w:r>
      <w:hyperlink r:id="rId8">
        <w:r w:rsidDel="00000000" w:rsidR="00000000" w:rsidRPr="00000000">
          <w:rPr>
            <w:rFonts w:ascii="Proxima Nova" w:cs="Proxima Nova" w:eastAsia="Proxima Nova" w:hAnsi="Proxima Nova"/>
            <w:color w:val="1155cc"/>
            <w:u w:val="single"/>
            <w:rtl w:val="0"/>
          </w:rPr>
          <w:t xml:space="preserve">o</w:t>
        </w:r>
      </w:hyperlink>
      <w:hyperlink r:id="rId9">
        <w:r w:rsidDel="00000000" w:rsidR="00000000" w:rsidRPr="00000000">
          <w:rPr>
            <w:rFonts w:ascii="Proxima Nova" w:cs="Proxima Nova" w:eastAsia="Proxima Nova" w:hAnsi="Proxima Nova"/>
            <w:color w:val="1155cc"/>
            <w:u w:val="single"/>
            <w:rtl w:val="0"/>
          </w:rPr>
          <w:t xml:space="preserve">pen science principles</w:t>
        </w:r>
      </w:hyperlink>
      <w:r w:rsidDel="00000000" w:rsidR="00000000" w:rsidRPr="00000000">
        <w:rPr>
          <w:rtl w:val="0"/>
        </w:rPr>
      </w:r>
    </w:p>
    <w:p w:rsidR="00000000" w:rsidDel="00000000" w:rsidP="00000000" w:rsidRDefault="00000000" w:rsidRPr="00000000" w14:paraId="0000001D">
      <w:pPr>
        <w:numPr>
          <w:ilvl w:val="0"/>
          <w:numId w:val="4"/>
        </w:numPr>
        <w:spacing w:after="0" w:afterAutospacing="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Definition: The extent to which the lesson content aligns with open science principles and practices.</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Example: </w:t>
      </w:r>
      <w:r w:rsidDel="00000000" w:rsidR="00000000" w:rsidRPr="00000000">
        <w:rPr>
          <w:rFonts w:ascii="Proxima Nova" w:cs="Proxima Nova" w:eastAsia="Proxima Nova" w:hAnsi="Proxima Nova"/>
          <w:sz w:val="24"/>
          <w:szCs w:val="24"/>
          <w:rtl w:val="0"/>
        </w:rPr>
        <w:t xml:space="preserve">Incorporating FAIR and CARE data principles</w:t>
      </w:r>
      <w:r w:rsidDel="00000000" w:rsidR="00000000" w:rsidRPr="00000000">
        <w:rPr>
          <w:rFonts w:ascii="Proxima Nova" w:cs="Proxima Nova" w:eastAsia="Proxima Nova" w:hAnsi="Proxima Nova"/>
          <w:sz w:val="24"/>
          <w:szCs w:val="24"/>
          <w:rtl w:val="0"/>
        </w:rPr>
        <w:t xml:space="preserve"> and discussing open-access publishing</w:t>
      </w:r>
      <w:r w:rsidDel="00000000" w:rsidR="00000000" w:rsidRPr="00000000">
        <w:rPr>
          <w:rFonts w:ascii="Proxima Nova" w:cs="Proxima Nova" w:eastAsia="Proxima Nova" w:hAnsi="Proxima Nova"/>
          <w:sz w:val="24"/>
          <w:szCs w:val="24"/>
          <w:vertAlign w:val="superscript"/>
        </w:rPr>
        <w:footnoteReference w:customMarkFollows="0" w:id="0"/>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1F">
      <w:pPr>
        <w:numPr>
          <w:ilvl w:val="0"/>
          <w:numId w:val="4"/>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(Low): Poor alignment with open science principles and practices</w:t>
      </w:r>
    </w:p>
    <w:p w:rsidR="00000000" w:rsidDel="00000000" w:rsidP="00000000" w:rsidRDefault="00000000" w:rsidRPr="00000000" w14:paraId="00000020">
      <w:pPr>
        <w:numPr>
          <w:ilvl w:val="0"/>
          <w:numId w:val="4"/>
        </w:numPr>
        <w:spacing w:after="24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5 (High): Strong alignment with open science principles and practices</w:t>
      </w:r>
    </w:p>
    <w:p w:rsidR="00000000" w:rsidDel="00000000" w:rsidP="00000000" w:rsidRDefault="00000000" w:rsidRPr="00000000" w14:paraId="00000021">
      <w:pPr>
        <w:pStyle w:val="Heading3"/>
        <w:shd w:fill="ffffff" w:val="clear"/>
        <w:rPr>
          <w:rFonts w:ascii="Proxima Nova" w:cs="Proxima Nova" w:eastAsia="Proxima Nova" w:hAnsi="Proxima Nova"/>
        </w:rPr>
      </w:pPr>
      <w:bookmarkStart w:colFirst="0" w:colLast="0" w:name="_g6ft0o7v5esj" w:id="4"/>
      <w:bookmarkEnd w:id="4"/>
      <w:r w:rsidDel="00000000" w:rsidR="00000000" w:rsidRPr="00000000">
        <w:rPr>
          <w:rFonts w:ascii="Proxima Nova" w:cs="Proxima Nova" w:eastAsia="Proxima Nova" w:hAnsi="Proxima Nova"/>
          <w:rtl w:val="0"/>
        </w:rPr>
        <w:t xml:space="preserve">Clarity of learning objectives</w:t>
      </w:r>
    </w:p>
    <w:p w:rsidR="00000000" w:rsidDel="00000000" w:rsidP="00000000" w:rsidRDefault="00000000" w:rsidRPr="00000000" w14:paraId="00000022">
      <w:pPr>
        <w:numPr>
          <w:ilvl w:val="0"/>
          <w:numId w:val="6"/>
        </w:numPr>
        <w:spacing w:after="0" w:afterAutospacing="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Definition: How well the learning objectives are defined, communicated, </w:t>
      </w:r>
      <w:r w:rsidDel="00000000" w:rsidR="00000000" w:rsidRPr="00000000">
        <w:rPr>
          <w:rFonts w:ascii="Proxima Nova" w:cs="Proxima Nova" w:eastAsia="Proxima Nova" w:hAnsi="Proxima Nova"/>
          <w:sz w:val="24"/>
          <w:szCs w:val="24"/>
          <w:rtl w:val="0"/>
        </w:rPr>
        <w:t xml:space="preserve">measurable</w:t>
      </w:r>
      <w:r w:rsidDel="00000000" w:rsidR="00000000" w:rsidRPr="00000000">
        <w:rPr>
          <w:rFonts w:ascii="Proxima Nova" w:cs="Proxima Nova" w:eastAsia="Proxima Nova" w:hAnsi="Proxima Nova"/>
          <w:sz w:val="24"/>
          <w:szCs w:val="24"/>
          <w:rtl w:val="0"/>
        </w:rPr>
        <w:t xml:space="preserve">, and achievable. See the Collaborative Lesson Development Training chapter on </w:t>
      </w:r>
      <w:hyperlink r:id="rId10">
        <w:r w:rsidDel="00000000" w:rsidR="00000000" w:rsidRPr="00000000">
          <w:rPr>
            <w:rFonts w:ascii="Proxima Nova" w:cs="Proxima Nova" w:eastAsia="Proxima Nova" w:hAnsi="Proxima Nova"/>
            <w:color w:val="1155cc"/>
            <w:sz w:val="24"/>
            <w:szCs w:val="24"/>
            <w:u w:val="single"/>
            <w:rtl w:val="0"/>
          </w:rPr>
          <w:t xml:space="preserve">Defining Lesson Objectives</w:t>
        </w:r>
      </w:hyperlink>
      <w:r w:rsidDel="00000000" w:rsidR="00000000" w:rsidRPr="00000000">
        <w:rPr>
          <w:rFonts w:ascii="Proxima Nova" w:cs="Proxima Nova" w:eastAsia="Proxima Nova" w:hAnsi="Proxima Nova"/>
          <w:sz w:val="24"/>
          <w:szCs w:val="24"/>
          <w:rtl w:val="0"/>
        </w:rPr>
        <w:t xml:space="preserve">. </w:t>
      </w:r>
      <w:r w:rsidDel="00000000" w:rsidR="00000000" w:rsidRPr="00000000">
        <w:rPr>
          <w:rtl w:val="0"/>
        </w:rPr>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Example: Clearly stating the learning outcomes and breaking down complex concepts into manageable tasks.</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(Low): Learning objectives are unclear, unmeasurable, or unachievable</w:t>
      </w:r>
    </w:p>
    <w:p w:rsidR="00000000" w:rsidDel="00000000" w:rsidP="00000000" w:rsidRDefault="00000000" w:rsidRPr="00000000" w14:paraId="00000025">
      <w:pPr>
        <w:numPr>
          <w:ilvl w:val="0"/>
          <w:numId w:val="6"/>
        </w:numPr>
        <w:spacing w:after="24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5</w:t>
      </w:r>
      <w:r w:rsidDel="00000000" w:rsidR="00000000" w:rsidRPr="00000000">
        <w:rPr>
          <w:rFonts w:ascii="Proxima Nova" w:cs="Proxima Nova" w:eastAsia="Proxima Nova" w:hAnsi="Proxima Nova"/>
          <w:sz w:val="24"/>
          <w:szCs w:val="24"/>
          <w:rtl w:val="0"/>
        </w:rPr>
        <w:t xml:space="preserve"> (High): Learning objectives are specific, measurable, attainable, relevant, and time-bound, with various appropriate assessments.</w:t>
      </w:r>
    </w:p>
    <w:p w:rsidR="00000000" w:rsidDel="00000000" w:rsidP="00000000" w:rsidRDefault="00000000" w:rsidRPr="00000000" w14:paraId="00000026">
      <w:pPr>
        <w:pStyle w:val="Heading3"/>
        <w:shd w:fill="ffffff" w:val="clear"/>
        <w:rPr>
          <w:rFonts w:ascii="Proxima Nova" w:cs="Proxima Nova" w:eastAsia="Proxima Nova" w:hAnsi="Proxima Nova"/>
        </w:rPr>
      </w:pPr>
      <w:bookmarkStart w:colFirst="0" w:colLast="0" w:name="_emj75dn2s61m" w:id="5"/>
      <w:bookmarkEnd w:id="5"/>
      <w:r w:rsidDel="00000000" w:rsidR="00000000" w:rsidRPr="00000000">
        <w:rPr>
          <w:rFonts w:ascii="Proxima Nova" w:cs="Proxima Nova" w:eastAsia="Proxima Nova" w:hAnsi="Proxima Nova"/>
          <w:rtl w:val="0"/>
        </w:rPr>
        <w:t xml:space="preserve">Suitability of content for the target audience</w:t>
      </w:r>
    </w:p>
    <w:p w:rsidR="00000000" w:rsidDel="00000000" w:rsidP="00000000" w:rsidRDefault="00000000" w:rsidRPr="00000000" w14:paraId="00000027">
      <w:pPr>
        <w:numPr>
          <w:ilvl w:val="0"/>
          <w:numId w:val="2"/>
        </w:numPr>
        <w:spacing w:after="0" w:afterAutospacing="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Definition: Appropriateness of the lesson content for the intended audience, considering their background and needs.</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Example: Tailoring the content for early career researchers or librarians with varying degrees of familiarity with open science.</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(Low): Content is not suitable for the target audience</w:t>
      </w:r>
    </w:p>
    <w:p w:rsidR="00000000" w:rsidDel="00000000" w:rsidP="00000000" w:rsidRDefault="00000000" w:rsidRPr="00000000" w14:paraId="0000002A">
      <w:pPr>
        <w:numPr>
          <w:ilvl w:val="0"/>
          <w:numId w:val="2"/>
        </w:numPr>
        <w:spacing w:after="24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5 (High): Content is highly suitable for the target audience</w:t>
      </w:r>
    </w:p>
    <w:p w:rsidR="00000000" w:rsidDel="00000000" w:rsidP="00000000" w:rsidRDefault="00000000" w:rsidRPr="00000000" w14:paraId="0000002B">
      <w:pPr>
        <w:pStyle w:val="Heading3"/>
        <w:shd w:fill="ffffff" w:val="clear"/>
        <w:rPr>
          <w:rFonts w:ascii="Proxima Nova" w:cs="Proxima Nova" w:eastAsia="Proxima Nova" w:hAnsi="Proxima Nova"/>
        </w:rPr>
      </w:pPr>
      <w:bookmarkStart w:colFirst="0" w:colLast="0" w:name="_g4rje3xa8rmt" w:id="6"/>
      <w:bookmarkEnd w:id="6"/>
      <w:r w:rsidDel="00000000" w:rsidR="00000000" w:rsidRPr="00000000">
        <w:rPr>
          <w:rFonts w:ascii="Proxima Nova" w:cs="Proxima Nova" w:eastAsia="Proxima Nova" w:hAnsi="Proxima Nova"/>
          <w:rtl w:val="0"/>
        </w:rPr>
        <w:t xml:space="preserve">Integration with existing initiatives</w:t>
      </w:r>
    </w:p>
    <w:p w:rsidR="00000000" w:rsidDel="00000000" w:rsidP="00000000" w:rsidRDefault="00000000" w:rsidRPr="00000000" w14:paraId="0000002C">
      <w:pPr>
        <w:numPr>
          <w:ilvl w:val="0"/>
          <w:numId w:val="5"/>
        </w:numPr>
        <w:spacing w:after="0" w:afterAutospacing="0" w:befor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Definition: The extent to which the lesson connects with and complements existing open science initiatives and programs.</w:t>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Example: Linking the lesson content to existing resources like NASA TOPS</w:t>
      </w:r>
      <w:r w:rsidDel="00000000" w:rsidR="00000000" w:rsidRPr="00000000">
        <w:rPr>
          <w:rFonts w:ascii="Proxima Nova" w:cs="Proxima Nova" w:eastAsia="Proxima Nova" w:hAnsi="Proxima Nova"/>
          <w:sz w:val="24"/>
          <w:szCs w:val="24"/>
          <w:vertAlign w:val="superscript"/>
        </w:rPr>
        <w:footnoteReference w:customMarkFollows="0" w:id="1"/>
      </w:r>
      <w:r w:rsidDel="00000000" w:rsidR="00000000" w:rsidRPr="00000000">
        <w:rPr>
          <w:rFonts w:ascii="Proxima Nova" w:cs="Proxima Nova" w:eastAsia="Proxima Nova" w:hAnsi="Proxima Nova"/>
          <w:sz w:val="24"/>
          <w:szCs w:val="24"/>
          <w:rtl w:val="0"/>
        </w:rPr>
        <w:t xml:space="preserve">, Library Carpentry, </w:t>
      </w:r>
      <w:r w:rsidDel="00000000" w:rsidR="00000000" w:rsidRPr="00000000">
        <w:rPr>
          <w:rFonts w:ascii="Proxima Nova" w:cs="Proxima Nova" w:eastAsia="Proxima Nova" w:hAnsi="Proxima Nova"/>
          <w:sz w:val="24"/>
          <w:szCs w:val="24"/>
          <w:rtl w:val="0"/>
        </w:rPr>
        <w:t xml:space="preserve"> FAIR data principle</w:t>
      </w:r>
      <w:r w:rsidDel="00000000" w:rsidR="00000000" w:rsidRPr="00000000">
        <w:rPr>
          <w:rFonts w:ascii="Proxima Nova" w:cs="Proxima Nova" w:eastAsia="Proxima Nova" w:hAnsi="Proxima Nova"/>
          <w:sz w:val="24"/>
          <w:szCs w:val="24"/>
          <w:vertAlign w:val="superscript"/>
        </w:rPr>
        <w:footnoteReference w:customMarkFollows="0" w:id="2"/>
      </w:r>
      <w:r w:rsidDel="00000000" w:rsidR="00000000" w:rsidRPr="00000000">
        <w:rPr>
          <w:rFonts w:ascii="Proxima Nova" w:cs="Proxima Nova" w:eastAsia="Proxima Nova" w:hAnsi="Proxima Nova"/>
          <w:sz w:val="24"/>
          <w:szCs w:val="24"/>
          <w:rtl w:val="0"/>
        </w:rPr>
        <w:t xml:space="preserve">, or </w:t>
      </w:r>
      <w:r w:rsidDel="00000000" w:rsidR="00000000" w:rsidRPr="00000000">
        <w:rPr>
          <w:rFonts w:ascii="Proxima Nova" w:cs="Proxima Nova" w:eastAsia="Proxima Nova" w:hAnsi="Proxima Nova"/>
          <w:sz w:val="24"/>
          <w:szCs w:val="24"/>
          <w:rtl w:val="0"/>
        </w:rPr>
        <w:t xml:space="preserve">Data Curation Primers</w:t>
      </w:r>
      <w:r w:rsidDel="00000000" w:rsidR="00000000" w:rsidRPr="00000000">
        <w:rPr>
          <w:rFonts w:ascii="Proxima Nova" w:cs="Proxima Nova" w:eastAsia="Proxima Nova" w:hAnsi="Proxima Nova"/>
          <w:sz w:val="24"/>
          <w:szCs w:val="24"/>
          <w:vertAlign w:val="superscript"/>
        </w:rPr>
        <w:footnoteReference w:customMarkFollows="0" w:id="3"/>
      </w:r>
      <w:r w:rsidDel="00000000" w:rsidR="00000000" w:rsidRPr="00000000">
        <w:rPr>
          <w:rFonts w:ascii="Proxima Nova" w:cs="Proxima Nova" w:eastAsia="Proxima Nova" w:hAnsi="Proxima Nova"/>
          <w:sz w:val="24"/>
          <w:szCs w:val="24"/>
          <w:rtl w:val="0"/>
        </w:rPr>
        <w:t xml:space="preserve">.</w:t>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(Low): Lesson has minimal integration with existing initiatives</w:t>
      </w:r>
    </w:p>
    <w:p w:rsidR="00000000" w:rsidDel="00000000" w:rsidP="00000000" w:rsidRDefault="00000000" w:rsidRPr="00000000" w14:paraId="0000002F">
      <w:pPr>
        <w:numPr>
          <w:ilvl w:val="0"/>
          <w:numId w:val="5"/>
        </w:numPr>
        <w:spacing w:after="240" w:before="0" w:beforeAutospacing="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5 (High): The lesson has strong integration with existing initiatives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rFonts w:ascii="Proxima Nova" w:cs="Proxima Nova" w:eastAsia="Proxima Nova" w:hAnsi="Proxima Nova"/>
        </w:rPr>
      </w:pPr>
      <w:r w:rsidDel="00000000" w:rsidR="00000000" w:rsidRPr="00000000">
        <w:rPr>
          <w:rFonts w:ascii="Proxima Nova" w:cs="Proxima Nova" w:eastAsia="Proxima Nova" w:hAnsi="Proxima Nova"/>
          <w:sz w:val="24"/>
          <w:szCs w:val="24"/>
          <w:highlight w:val="white"/>
          <w:rtl w:val="0"/>
        </w:rPr>
        <w:t xml:space="preserve">The review committee should evaluate lesson proposals using this outline and the ranking scale provided for each criterion. The scores for each criterion can be tallied to determine the overall quality and suitability of the proposed lesson, ensuring that it meets the highest standards for promoting open science practices and supporting the target audience. The lesson proposals have been anonymized for fairness.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https://nasa.github.io/Transform-to-Open-Science/</w:t>
        </w:r>
      </w:hyperlink>
      <w:r w:rsidDel="00000000" w:rsidR="00000000" w:rsidRPr="00000000">
        <w:rPr>
          <w:sz w:val="20"/>
          <w:szCs w:val="20"/>
          <w:rtl w:val="0"/>
        </w:rPr>
        <w:t xml:space="preserve"> </w:t>
      </w:r>
    </w:p>
  </w:footnote>
  <w:footnote w:id="3">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https://datacurationnetwork.org/outputs/data-curation-primers</w:t>
        </w:r>
      </w:hyperlink>
      <w:r w:rsidDel="00000000" w:rsidR="00000000" w:rsidRPr="00000000">
        <w:rPr>
          <w:rtl w:val="0"/>
        </w:rPr>
      </w:r>
    </w:p>
  </w:footnote>
  <w:footnote w:id="2">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https://www.gofair.us/fair-principles</w:t>
        </w:r>
      </w:hyperlink>
      <w:r w:rsidDel="00000000" w:rsidR="00000000" w:rsidRPr="00000000">
        <w:rPr>
          <w:sz w:val="20"/>
          <w:szCs w:val="20"/>
          <w:rtl w:val="0"/>
        </w:rPr>
        <w:t xml:space="preserve"> </w:t>
      </w:r>
    </w:p>
  </w:footnote>
  <w:footnote w:id="0">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 are some criteria outlined here </w:t>
      </w:r>
      <w:hyperlink r:id="rId4">
        <w:r w:rsidDel="00000000" w:rsidR="00000000" w:rsidRPr="00000000">
          <w:rPr>
            <w:sz w:val="20"/>
            <w:szCs w:val="20"/>
            <w:rtl w:val="0"/>
          </w:rPr>
          <w:t xml:space="preserve"> </w:t>
        </w:r>
      </w:hyperlink>
      <w:hyperlink r:id="rId5">
        <w:r w:rsidDel="00000000" w:rsidR="00000000" w:rsidRPr="00000000">
          <w:rPr>
            <w:color w:val="1155cc"/>
            <w:sz w:val="20"/>
            <w:szCs w:val="20"/>
            <w:u w:val="single"/>
            <w:rtl w:val="0"/>
          </w:rPr>
          <w:t xml:space="preserve">https://datascience.codata.org/articles/10.5334/dsj-2020-043</w:t>
        </w:r>
      </w:hyperlink>
      <w:r w:rsidDel="00000000" w:rsidR="00000000" w:rsidRPr="00000000">
        <w:rPr>
          <w:sz w:val="20"/>
          <w:szCs w:val="20"/>
          <w:rtl w:val="0"/>
        </w:rPr>
        <w:t xml:space="preserve"> including how CARE overlaps with FAIR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carpentries.github.io/lesson-development-training/05-objectives.html" TargetMode="External"/><Relationship Id="rId9" Type="http://schemas.openxmlformats.org/officeDocument/2006/relationships/hyperlink" Target="https://docs.google.com/document/d/1K6lIPyA4jz_j-3qzjQdvesS43xwqs54xyHtgZP7jIZ4/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cla-imls-open-sci.info/" TargetMode="External"/><Relationship Id="rId8" Type="http://schemas.openxmlformats.org/officeDocument/2006/relationships/hyperlink" Target="https://docs.google.com/document/d/1K6lIPyA4jz_j-3qzjQdvesS43xwqs54xyHtgZP7jIZ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nasa.github.io/Transform-to-Open-Science/" TargetMode="External"/><Relationship Id="rId2" Type="http://schemas.openxmlformats.org/officeDocument/2006/relationships/hyperlink" Target="https://datacurationnetwork.org/outputs/data-curation-primers/" TargetMode="External"/><Relationship Id="rId3" Type="http://schemas.openxmlformats.org/officeDocument/2006/relationships/hyperlink" Target="https://www.gofair.us/fair-principles" TargetMode="External"/><Relationship Id="rId4" Type="http://schemas.openxmlformats.org/officeDocument/2006/relationships/hyperlink" Target="https://datascience.codata.org/articles/10.5334/dsj-2020-043" TargetMode="External"/><Relationship Id="rId5" Type="http://schemas.openxmlformats.org/officeDocument/2006/relationships/hyperlink" Target="https://datascience.codata.org/articles/10.5334/dsj-202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