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Week-13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and</w:t>
      </w:r>
      <w:r>
        <w:t xml:space="preserve"> </w:t>
      </w:r>
      <w:r>
        <w:t xml:space="preserve">Processing</w:t>
      </w:r>
      <w:r>
        <w:t xml:space="preserve"> </w:t>
      </w:r>
      <w:r>
        <w:t xml:space="preserve">Sequential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Organization,Direct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Hash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3"/>
    <w:p>
      <w:pPr>
        <w:pStyle w:val="Heading1"/>
      </w:pPr>
      <w:r>
        <w:t xml:space="preserve">Week-13</w:t>
      </w:r>
    </w:p>
    <w:bookmarkStart w:id="24" w:name="Xc940f562504191c6b695c23069665888faff559"/>
    <w:p>
      <w:pPr>
        <w:pStyle w:val="Heading3"/>
      </w:pPr>
      <w:r>
        <w:t xml:space="preserve">Introduction to File Organization and Processing Sequential File Organization,Direct File Organization Hash Methods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Week-13</dc:title>
  <dc:creator>Author: Asst. Prof. Dr. Uğur CORUH</dc:creator>
  <dc:language>en-US</dc:language>
  <cp:keywords/>
  <dcterms:created xsi:type="dcterms:W3CDTF">2022-01-29T01:56:19Z</dcterms:created>
  <dcterms:modified xsi:type="dcterms:W3CDTF">2022-01-29T01:56:19Z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Week-13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Introduction to File Organization and Processing Sequential File Organization,Direct File Organization Hash Methods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