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Hafta-12</w:t>
      </w:r>
    </w:p>
    <w:p>
      <w:pPr>
        <w:pStyle w:val="Subtitle"/>
      </w:pPr>
      <w:r>
        <w:t xml:space="preserve">GÃ¼venlik</w:t>
      </w:r>
      <w:r>
        <w:t xml:space="preserve"> </w:t>
      </w:r>
      <w:r>
        <w:t xml:space="preserve">Gereksinimleri</w:t>
      </w:r>
      <w:r>
        <w:t xml:space="preserve"> </w:t>
      </w:r>
      <w:r>
        <w:t xml:space="preserve">ve</w:t>
      </w:r>
      <w:r>
        <w:t xml:space="preserve"> </w:t>
      </w:r>
      <w:r>
        <w:t xml:space="preserve">Standartlar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407-gã¼venli-programlama"/>
    <w:p>
      <w:pPr>
        <w:pStyle w:val="Heading1"/>
      </w:pPr>
      <w:r>
        <w:t xml:space="preserve">CE407 GÃ¼venli Programlama</w:t>
      </w:r>
    </w:p>
    <w:bookmarkStart w:id="35" w:name="hafta-12"/>
    <w:p>
      <w:pPr>
        <w:pStyle w:val="Heading2"/>
      </w:pPr>
      <w:r>
        <w:t xml:space="preserve">Hafta-12</w:t>
      </w:r>
    </w:p>
    <w:bookmarkStart w:id="24" w:name="gã¼venlik-gereksinimleri-ve-standartlar"/>
    <w:p>
      <w:pPr>
        <w:pStyle w:val="Heading4"/>
      </w:pPr>
      <w:r>
        <w:t xml:space="preserve">GÃ¼venlik Gereksinimleri ve Standartlar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GÃ¼venlik Gereksinimlerinin Ã–nemi</w:t>
      </w:r>
    </w:p>
    <w:p>
      <w:pPr>
        <w:numPr>
          <w:ilvl w:val="0"/>
          <w:numId w:val="1001"/>
        </w:numPr>
        <w:pStyle w:val="Compact"/>
      </w:pPr>
      <w:r>
        <w:t xml:space="preserve">UluslararasÄ± GÃ¼venlik StandartlarÄ±</w:t>
      </w:r>
    </w:p>
    <w:p>
      <w:pPr>
        <w:numPr>
          <w:ilvl w:val="0"/>
          <w:numId w:val="1001"/>
        </w:numPr>
        <w:pStyle w:val="Compact"/>
      </w:pPr>
      <w:r>
        <w:t xml:space="preserve">YaygÄ±n GÃ¼venlik SertifikalarÄ±</w:t>
      </w:r>
    </w:p>
    <w:bookmarkEnd w:id="25"/>
    <w:bookmarkStart w:id="34" w:name="Xf5d2865fc4a8a5e95ab7a6f0ee2b70cab5c9bd3"/>
    <w:p>
      <w:pPr>
        <w:pStyle w:val="Heading3"/>
      </w:pPr>
      <w:r>
        <w:rPr>
          <w:bCs/>
          <w:b/>
        </w:rPr>
        <w:t xml:space="preserve">Hafta-12: GÃ¼venlik Gereksinimleri ve Standartlar</w:t>
      </w:r>
    </w:p>
    <w:p>
      <w:pPr>
        <w:pStyle w:val="FirstParagraph"/>
      </w:pPr>
      <w:r>
        <w:t xml:space="preserve">Bu hafta, gÃ¼venlik gereksinimlerinin nasÄ±l tanÄ±mlandÄ±ÄŸÄ±nÄ±, uluslararasÄ± gÃ¼venlik standartlarÄ±nÄ±n nasÄ±l oluÅŸturulduÄŸunu ve yaygÄ±n kullanÄ±lan gÃ¼venlik sertifikalarÄ± ile uyumlu olmanÄ±n neden Ã¶nemli olduÄŸunu Ã¶ÄŸreneceÄŸiz. GÃ¼venlik gereksinimleri, bir sistemin saldÄ±rÄ±lara karÅŸÄ± ne kadar dayanÄ±klÄ± olduÄŸunu belirlemek iÃ§in tasarlanmÄ±ÅŸtÄ±r. Bu standartlar, birÃ§ok sektÃ¶rde gÃ¼venliÄŸi saÄŸlamak iÃ§in kullanÄ±lÄ±r.</w:t>
      </w:r>
    </w:p>
    <w:bookmarkStart w:id="26" w:name="gã¼venlik-gereksinimlerinin-ãnemi"/>
    <w:p>
      <w:pPr>
        <w:pStyle w:val="Heading4"/>
      </w:pPr>
      <w:r>
        <w:rPr>
          <w:bCs/>
          <w:b/>
        </w:rPr>
        <w:t xml:space="preserve">1. GÃ¼venlik Gereksinimlerinin Ã–nemi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 sistemin gÃ¼venli olabilmesi iÃ§in, belirli gÃ¼venlik gereksinimlerini karÅŸÄ±lamasÄ± gereklidir. Bu gereksinimler, sistemin hangi tehditlere karÅŸÄ± korunmasÄ± gerektiÄŸini ve hangi gÃ¼venlik Ã¶nlemlerinin alÄ±nacaÄŸÄ±nÄ± belirler.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GÃ¼venlik Gereksinimlerinin BaÅŸlÄ±ca Kategorileri: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Gizlilik (Confidentiality):</w:t>
      </w:r>
      <w:r>
        <w:t xml:space="preserve"> </w:t>
      </w:r>
      <w:r>
        <w:t xml:space="preserve">Yetkisiz kiÅŸilerin bilgilere eriÅŸiminin engellenmesi.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BÃ¼tÃ¼nlÃ¼k (Integrity):</w:t>
      </w:r>
      <w:r>
        <w:t xml:space="preserve"> </w:t>
      </w:r>
      <w:r>
        <w:t xml:space="preserve">Verilerin yetkisiz kiÅŸiler tarafÄ±ndan deÄŸiÅŸtirilmesinin engellenmesi.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Kimlik DoÄŸrulama (Authentication):</w:t>
      </w:r>
      <w:r>
        <w:t xml:space="preserve"> </w:t>
      </w:r>
      <w:r>
        <w:t xml:space="preserve">Sisteme eriÅŸen kiÅŸilerin kimliÄŸinin doÄŸrulanmasÄ±.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Yetkilendirme (Authorization):</w:t>
      </w:r>
      <w:r>
        <w:t xml:space="preserve"> </w:t>
      </w:r>
      <w:r>
        <w:t xml:space="preserve">Sadece belirli kiÅŸilerin belirli kaynaklara eriÅŸebilmesi.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KayÄ±t Tutma (Auditing):</w:t>
      </w:r>
      <w:r>
        <w:t xml:space="preserve"> </w:t>
      </w:r>
      <w:r>
        <w:t xml:space="preserve">OlaylarÄ±n kaydedilmesi ve izlenebilmesi.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SÃ¼reklilik (Availability):</w:t>
      </w:r>
      <w:r>
        <w:t xml:space="preserve"> </w:t>
      </w:r>
      <w:r>
        <w:t xml:space="preserve">Sistemin kesintisiz Ã§alÄ±ÅŸmasÄ±nÄ± saÄŸlama.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Bir uygulama iÃ§in gÃ¼venlik gereksinimlerini belirleme.</w:t>
      </w:r>
    </w:p>
    <w:p>
      <w:pPr>
        <w:numPr>
          <w:ilvl w:val="0"/>
          <w:numId w:val="1004"/>
        </w:numPr>
        <w:pStyle w:val="Compact"/>
      </w:pPr>
      <w:r>
        <w:t xml:space="preserve">VeritabanÄ± gÃ¼venliÄŸinin nasÄ±l saÄŸlanabileceÄŸini analiz etme.</w:t>
      </w:r>
    </w:p>
    <w:bookmarkEnd w:id="26"/>
    <w:bookmarkStart w:id="27" w:name="X5c76406f7ee5577e071086205e0548ff5f406b4"/>
    <w:p>
      <w:pPr>
        <w:pStyle w:val="Heading4"/>
      </w:pPr>
      <w:r>
        <w:rPr>
          <w:bCs/>
          <w:b/>
        </w:rPr>
        <w:t xml:space="preserve">2. ETSI (European Telecommunications Standards Institute)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ETSI, Avrupa TelekomÃ¼nikasyon StandartlarÄ± EnstitÃ¼sÃ¼ tarafÄ±ndan belirlenen standartlar, Ã¶zellikle aÄŸ gÃ¼venliÄŸi, mobil iletiÅŸim ve IoT cihazlarÄ± gibi alanlarda kullanÄ±lÄ±r.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ETSIâ€™nin GÃ¶revleri:</w:t>
      </w:r>
    </w:p>
    <w:p>
      <w:pPr>
        <w:numPr>
          <w:ilvl w:val="1"/>
          <w:numId w:val="1006"/>
        </w:numPr>
        <w:pStyle w:val="Compact"/>
      </w:pPr>
      <w:r>
        <w:t xml:space="preserve">TelekomÃ¼nikasyon teknolojilerinde uluslararasÄ± standartlar geliÅŸtirmek.</w:t>
      </w:r>
    </w:p>
    <w:p>
      <w:pPr>
        <w:numPr>
          <w:ilvl w:val="1"/>
          <w:numId w:val="1006"/>
        </w:numPr>
        <w:pStyle w:val="Compact"/>
      </w:pPr>
      <w:r>
        <w:t xml:space="preserve">Mobil aÄŸlar iÃ§in gÃ¼venlik Ã§Ã¶zÃ¼mleri saÄŸlamak.</w:t>
      </w:r>
    </w:p>
    <w:p>
      <w:pPr>
        <w:numPr>
          <w:ilvl w:val="1"/>
          <w:numId w:val="1006"/>
        </w:numPr>
        <w:pStyle w:val="Compact"/>
      </w:pPr>
      <w:r>
        <w:t xml:space="preserve">5G gÃ¼venlik standartlarÄ±nÄ± oluÅŸturmak.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ETSI standartlarÄ±na gÃ¶re bir IoT cihazÄ±nÄ±n gÃ¼venliÄŸini inceleme.</w:t>
      </w:r>
    </w:p>
    <w:p>
      <w:pPr>
        <w:numPr>
          <w:ilvl w:val="0"/>
          <w:numId w:val="1007"/>
        </w:numPr>
        <w:pStyle w:val="Compact"/>
      </w:pPr>
      <w:r>
        <w:t xml:space="preserve">ETSI tarafÄ±ndan belirlenen gÃ¼venlik gereksinimlerine gÃ¶re bir aÄŸ yapÄ±landÄ±rmasÄ± oluÅŸturma.</w:t>
      </w:r>
    </w:p>
    <w:bookmarkEnd w:id="27"/>
    <w:bookmarkStart w:id="28" w:name="gsma-gsm-association"/>
    <w:p>
      <w:pPr>
        <w:pStyle w:val="Heading4"/>
      </w:pPr>
      <w:r>
        <w:rPr>
          <w:bCs/>
          <w:b/>
        </w:rPr>
        <w:t xml:space="preserve">3. GSMA (GSM Association)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GSMA, mobil cihazlar ve aÄŸlar iÃ§in gÃ¼venlik standartlarÄ±nÄ± belirler. GSMA, Ã¶zellikle SIM kart gÃ¼venliÄŸi, aÄŸ gÃ¼venliÄŸi ve mobil operatÃ¶rler iÃ§in protokoller saÄŸlar.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GSMAâ€™nÄ±n RolÃ¼:</w:t>
      </w:r>
    </w:p>
    <w:p>
      <w:pPr>
        <w:numPr>
          <w:ilvl w:val="1"/>
          <w:numId w:val="1009"/>
        </w:numPr>
        <w:pStyle w:val="Compact"/>
      </w:pPr>
      <w:r>
        <w:t xml:space="preserve">Mobil aÄŸlarda kullanÄ±lan protokoller iÃ§in gÃ¼venlik standartlarÄ± oluÅŸturmak.</w:t>
      </w:r>
    </w:p>
    <w:p>
      <w:pPr>
        <w:numPr>
          <w:ilvl w:val="1"/>
          <w:numId w:val="1009"/>
        </w:numPr>
        <w:pStyle w:val="Compact"/>
      </w:pPr>
      <w:r>
        <w:t xml:space="preserve">SIM kart ve eSIM gÃ¼venlik standartlarÄ±nÄ± yÃ¶netmek.</w:t>
      </w:r>
    </w:p>
    <w:p>
      <w:pPr>
        <w:numPr>
          <w:ilvl w:val="1"/>
          <w:numId w:val="1009"/>
        </w:numPr>
        <w:pStyle w:val="Compact"/>
      </w:pPr>
      <w:r>
        <w:t xml:space="preserve">Mobil operatÃ¶rler arasÄ±nda gÃ¼venli veri alÄ±ÅŸveriÅŸini saÄŸlamak.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GSMA standartlarÄ±na gÃ¶re bir mobil cihazÄ±n gÃ¼venlik gereksinimlerini belirleme.</w:t>
      </w:r>
    </w:p>
    <w:p>
      <w:pPr>
        <w:numPr>
          <w:ilvl w:val="0"/>
          <w:numId w:val="1010"/>
        </w:numPr>
        <w:pStyle w:val="Compact"/>
      </w:pPr>
      <w:r>
        <w:t xml:space="preserve">GSMA tarafÄ±ndan Ã¶nerilen gÃ¼venlik protokollerini mobil uygulama geliÅŸtirme sÃ¼reÃ§lerine entegre etme.</w:t>
      </w:r>
    </w:p>
    <w:bookmarkEnd w:id="28"/>
    <w:bookmarkStart w:id="29" w:name="emv-europay-mastercard-visa"/>
    <w:p>
      <w:pPr>
        <w:pStyle w:val="Heading4"/>
      </w:pPr>
      <w:r>
        <w:rPr>
          <w:bCs/>
          <w:b/>
        </w:rPr>
        <w:t xml:space="preserve">4. EMV (Europay, MasterCard, Visa)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EMV, Ã¶deme kartÄ± gÃ¼venliÄŸini saÄŸlamak amacÄ±yla oluÅŸturulmuÅŸ bir standarttÄ±r. Ã–zellikle kredi kartlarÄ± ve POS cihazlarÄ±nÄ±n gÃ¼venliÄŸini artÄ±rmak iÃ§in kullanÄ±lÄ±r.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EMV StandartlarÄ±: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MasterCard:</w:t>
      </w:r>
      <w:r>
        <w:t xml:space="preserve"> </w:t>
      </w:r>
      <w:r>
        <w:t xml:space="preserve">Kart gÃ¼venliÄŸi ve Ã¶deme sistemlerinin korunmasÄ±.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Visa:</w:t>
      </w:r>
      <w:r>
        <w:t xml:space="preserve"> </w:t>
      </w:r>
      <w:r>
        <w:t xml:space="preserve">Kart sahiplerinin ve POS cihazlarÄ±nÄ±n gÃ¼venliÄŸini saÄŸlayan protokoller.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3"/>
        </w:numPr>
        <w:pStyle w:val="Compact"/>
      </w:pPr>
      <w:r>
        <w:t xml:space="preserve">EMV standartlarÄ±na uygun bir Ã¶deme sisteminin gÃ¼venlik gereksinimlerini oluÅŸturma.</w:t>
      </w:r>
    </w:p>
    <w:p>
      <w:pPr>
        <w:numPr>
          <w:ilvl w:val="0"/>
          <w:numId w:val="1013"/>
        </w:numPr>
        <w:pStyle w:val="Compact"/>
      </w:pPr>
      <w:r>
        <w:t xml:space="preserve">MasterCard ve Visa tarafÄ±ndan saÄŸlanan gÃ¼venlik protokollerini bir POS cihazÄ±na entegre etme.</w:t>
      </w:r>
    </w:p>
    <w:bookmarkEnd w:id="29"/>
    <w:bookmarkStart w:id="30" w:name="eal-evaluation-assurance-level"/>
    <w:p>
      <w:pPr>
        <w:pStyle w:val="Heading4"/>
      </w:pPr>
      <w:r>
        <w:rPr>
          <w:bCs/>
          <w:b/>
        </w:rPr>
        <w:t xml:space="preserve">5. EAL (Evaluation Assurance Level)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EAL (DeÄŸerlendirme GÃ¼vencesi Seviyesi), bir Ã¼rÃ¼nÃ¼n gÃ¼venlik gereksinimlerini karÅŸÄ±lama dÃ¼zeyini gÃ¶sterir. EAL seviyeleri, sistemin gÃ¼venliÄŸini ne Ã¶lÃ§Ã¼de test ettiÄŸimizi belirler.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EAL Seviyeleri: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EAL1:</w:t>
      </w:r>
      <w:r>
        <w:t xml:space="preserve"> </w:t>
      </w:r>
      <w:r>
        <w:t xml:space="preserve">Fonksiyonel olarak test edilmiÅŸ.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EAL2:</w:t>
      </w:r>
      <w:r>
        <w:t xml:space="preserve"> </w:t>
      </w:r>
      <w:r>
        <w:t xml:space="preserve">YapÄ±sal olarak test edilmiÅŸ.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EAL3:</w:t>
      </w:r>
      <w:r>
        <w:t xml:space="preserve"> </w:t>
      </w:r>
      <w:r>
        <w:t xml:space="preserve">Metodolojik olarak test edilmiÅŸ ve denetlenmiÅŸ.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EAL4:</w:t>
      </w:r>
      <w:r>
        <w:t xml:space="preserve"> </w:t>
      </w:r>
      <w:r>
        <w:t xml:space="preserve">TasarÄ±m bazÄ±nda gÃ¶zden geÃ§irilmiÅŸ, metodolojik olarak test edilmiÅŸ.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EAL5 ve Ã¼zeri:</w:t>
      </w:r>
      <w:r>
        <w:t xml:space="preserve"> </w:t>
      </w:r>
      <w:r>
        <w:t xml:space="preserve">YÃ¼ksek gÃ¼venlik gereksinimleri saÄŸlayan sistemler.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6"/>
        </w:numPr>
        <w:pStyle w:val="Compact"/>
      </w:pPr>
      <w:r>
        <w:t xml:space="preserve">EAL seviyelerine gÃ¶re bir sistemin gÃ¼venlik derecesini belirleme.</w:t>
      </w:r>
    </w:p>
    <w:p>
      <w:pPr>
        <w:numPr>
          <w:ilvl w:val="0"/>
          <w:numId w:val="1016"/>
        </w:numPr>
        <w:pStyle w:val="Compact"/>
      </w:pPr>
      <w:r>
        <w:t xml:space="preserve">EAL4 seviyesinde bir sistem iÃ§in test senaryolarÄ± geliÅŸtirme.</w:t>
      </w:r>
    </w:p>
    <w:bookmarkEnd w:id="30"/>
    <w:bookmarkStart w:id="31" w:name="common-criteria-ortak-kriterler"/>
    <w:p>
      <w:pPr>
        <w:pStyle w:val="Heading4"/>
      </w:pPr>
      <w:r>
        <w:rPr>
          <w:bCs/>
          <w:b/>
        </w:rPr>
        <w:t xml:space="preserve">6. Common Criteria (Ortak Kriterler)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Common Criteria (Ortak Kriterler), uluslararasÄ± bir gÃ¼venlik sertifikasyon standardÄ±dÄ±r. Bu standart, Ã¼rÃ¼nlerin gÃ¼venlik seviyesini deÄŸerlendirmek iÃ§in kullanÄ±lÄ±r ve dÃ¼nya Ã§apÄ±nda kabul gÃ¶rmÃ¼ÅŸtÃ¼r.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Common Criteriaâ€™nin AvantajlarÄ±:</w:t>
      </w:r>
    </w:p>
    <w:p>
      <w:pPr>
        <w:numPr>
          <w:ilvl w:val="1"/>
          <w:numId w:val="1018"/>
        </w:numPr>
        <w:pStyle w:val="Compact"/>
      </w:pPr>
      <w:r>
        <w:t xml:space="preserve">ÃœrÃ¼n gÃ¼venliÄŸinin kÃ¼resel Ã§apta onaylanmasÄ±nÄ± saÄŸlar.</w:t>
      </w:r>
    </w:p>
    <w:p>
      <w:pPr>
        <w:numPr>
          <w:ilvl w:val="1"/>
          <w:numId w:val="1018"/>
        </w:numPr>
        <w:pStyle w:val="Compact"/>
      </w:pPr>
      <w:r>
        <w:t xml:space="preserve">GÃ¼venlik Ã¶zelliklerinin doÄŸrulanmasÄ± iÃ§in ortak bir dil sunar.</w:t>
      </w:r>
    </w:p>
    <w:p>
      <w:pPr>
        <w:numPr>
          <w:ilvl w:val="1"/>
          <w:numId w:val="1018"/>
        </w:numPr>
        <w:pStyle w:val="Compact"/>
      </w:pPr>
      <w:r>
        <w:t xml:space="preserve">EAL sertifikasyon sÃ¼reÃ§lerine uyumludur.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9"/>
        </w:numPr>
        <w:pStyle w:val="Compact"/>
      </w:pPr>
      <w:r>
        <w:t xml:space="preserve">Common Criteria kapsamÄ±nda bir gÃ¼venlik sertifikasyonu sÃ¼reci baÅŸlatma.</w:t>
      </w:r>
    </w:p>
    <w:p>
      <w:pPr>
        <w:numPr>
          <w:ilvl w:val="0"/>
          <w:numId w:val="1019"/>
        </w:numPr>
        <w:pStyle w:val="Compact"/>
      </w:pPr>
      <w:r>
        <w:t xml:space="preserve">Common Criteria uyumlu bir yazÄ±lÄ±m geliÅŸtirme planÄ± hazÄ±rlama.</w:t>
      </w:r>
    </w:p>
    <w:bookmarkEnd w:id="31"/>
    <w:bookmarkStart w:id="32" w:name="X44b92f2e9f39e2291c2fa35b155a6a0469f65fc"/>
    <w:p>
      <w:pPr>
        <w:pStyle w:val="Heading4"/>
      </w:pPr>
      <w:r>
        <w:rPr>
          <w:bCs/>
          <w:b/>
        </w:rPr>
        <w:t xml:space="preserve">7. FIPS (Federal Information Processing Standards)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FIPS, Amerika BirleÅŸik Devletleri hÃ¼kÃ¼meti tarafÄ±ndan kullanÄ±lan bilgi iÅŸlem standartlarÄ±nÄ± tanÄ±mlar. FIPS, Ã¶zellikle kriptografik modÃ¼llerin gÃ¼venliÄŸi iÃ§in kullanÄ±lan bir standarttÄ±r.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FIPSâ€™in Ã–nemi:</w:t>
      </w:r>
    </w:p>
    <w:p>
      <w:pPr>
        <w:numPr>
          <w:ilvl w:val="1"/>
          <w:numId w:val="1021"/>
        </w:numPr>
        <w:pStyle w:val="Compact"/>
      </w:pPr>
      <w:r>
        <w:t xml:space="preserve">ABD hÃ¼kÃ¼metine ait sistemlerde kullanÄ±lan gÃ¼venlik protokollerini tanÄ±mlar.</w:t>
      </w:r>
    </w:p>
    <w:p>
      <w:pPr>
        <w:numPr>
          <w:ilvl w:val="1"/>
          <w:numId w:val="1021"/>
        </w:numPr>
        <w:pStyle w:val="Compact"/>
      </w:pPr>
      <w:r>
        <w:t xml:space="preserve">Kriptografik algoritmalar ve modÃ¼llerin sertifikalandÄ±rÄ±lmasÄ±nÄ± saÄŸlar.</w:t>
      </w:r>
    </w:p>
    <w:p>
      <w:pPr>
        <w:numPr>
          <w:ilvl w:val="1"/>
          <w:numId w:val="1021"/>
        </w:numPr>
        <w:pStyle w:val="Compact"/>
      </w:pPr>
      <w:r>
        <w:t xml:space="preserve">Hassas bilgilerin gÃ¼venliÄŸini saÄŸlamak iÃ§in geliÅŸtirilmiÅŸ gÃ¼venlik standartlarÄ± sunar.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2"/>
        </w:numPr>
        <w:pStyle w:val="Compact"/>
      </w:pPr>
      <w:r>
        <w:t xml:space="preserve">FIPS standardÄ±na uygun bir kriptografik modÃ¼l geliÅŸtirme.</w:t>
      </w:r>
    </w:p>
    <w:p>
      <w:pPr>
        <w:numPr>
          <w:ilvl w:val="0"/>
          <w:numId w:val="1022"/>
        </w:numPr>
        <w:pStyle w:val="Compact"/>
      </w:pPr>
      <w:r>
        <w:t xml:space="preserve">FIPS sertifikalÄ± gÃ¼venlik algoritmalarÄ±nÄ± bir uygulamaya entegre etme.</w:t>
      </w:r>
    </w:p>
    <w:bookmarkEnd w:id="32"/>
    <w:bookmarkStart w:id="33" w:name="sonuã"/>
    <w:p>
      <w:pPr>
        <w:pStyle w:val="Heading4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ETSI, GSMA, EMV, EAL, Common Criteria ve FIPS gibi gÃ¼venlik gereksinimleri ve standartlarÄ±nÄ± inceledik. Bu standartlar, uluslararasÄ± dÃ¼zeyde kabul gÃ¶rmÃ¼ÅŸ gÃ¼venlik protokollerini tanÄ±mlayarak sistemlerin ve Ã¼rÃ¼nlerin gÃ¼venliÄŸini saÄŸlamaya yardÄ±mcÄ± olur. GÃ¼venlik sertifikalarÄ±, Ã¼rÃ¼nlerin ve sistemlerin gÃ¼venlik aÃ§Ä±sÄ±ndan deÄŸerlendirildiÄŸini ve onaylandÄ±ÄŸÄ±nÄ± gÃ¶sterir.</w:t>
      </w:r>
    </w:p>
    <w:p>
      <w:pPr>
        <w:pStyle w:val="BodyText"/>
      </w:pPr>
      <m:oMathPara>
        <m:oMathParaPr>
          <m:jc m:val="center"/>
        </m:oMathParaPr>
        <m:oMath>
          <m:r>
            <m:t>12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12.tr_doc.pdf" TargetMode="External" /><Relationship Type="http://schemas.openxmlformats.org/officeDocument/2006/relationships/hyperlink" Id="rId22" Target="ce407-week-12.tr_slide.pdf" TargetMode="External" /><Relationship Type="http://schemas.openxmlformats.org/officeDocument/2006/relationships/hyperlink" Id="rId23" Target="ce407-week-12.tr_slide.pptx" TargetMode="External" /><Relationship Type="http://schemas.openxmlformats.org/officeDocument/2006/relationships/hyperlink" Id="rId21" Target="ce407-week-12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12.tr_doc.pdf" TargetMode="External" /><Relationship Type="http://schemas.openxmlformats.org/officeDocument/2006/relationships/hyperlink" Id="rId22" Target="ce407-week-12.tr_slide.pdf" TargetMode="External" /><Relationship Type="http://schemas.openxmlformats.org/officeDocument/2006/relationships/hyperlink" Id="rId23" Target="ce407-week-12.tr_slide.pptx" TargetMode="External" /><Relationship Type="http://schemas.openxmlformats.org/officeDocument/2006/relationships/hyperlink" Id="rId21" Target="ce407-week-12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Hafta-12</dc:title>
  <dc:creator>Yazar: Dr. UÄŸur CORUH</dc:creator>
  <dc:language>tr-TR</dc:language>
  <cp:keywords/>
  <dcterms:created xsi:type="dcterms:W3CDTF">2024-09-25T15:43:41Z</dcterms:created>
  <dcterms:modified xsi:type="dcterms:W3CDTF">2024-09-25T15:43:41Z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Hafta-12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GÃ¼venlik Gereksinimleri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GÃ¼venlik Gereksinimleri ve Standartlar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