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Hafta-14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14"/>
    <w:p>
      <w:pPr>
        <w:pStyle w:val="Heading2"/>
      </w:pPr>
      <w:r>
        <w:t xml:space="preserve">Hafta-14</w:t>
      </w:r>
    </w:p>
    <w:bookmarkStart w:id="24" w:name="quiz-2"/>
    <w:p>
      <w:pPr>
        <w:pStyle w:val="Heading4"/>
      </w:pPr>
      <w:r>
        <w:t xml:space="preserve">Quiz 2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2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Hafta-14</dc:title>
  <dc:creator>Dr. UÄŸur CORUH</dc:creator>
  <dc:language>tr-TR</dc:language>
  <cp:keywords/>
  <dcterms:created xsi:type="dcterms:W3CDTF">2024-09-26T05:14:49Z</dcterms:created>
  <dcterms:modified xsi:type="dcterms:W3CDTF">2024-09-26T05:14:49Z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Hafta-14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2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