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7.png" ContentType="image/png"/>
  <Override PartName="/word/media/rId5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bir</w:t>
      </w:r>
      <w:r>
        <w:t xml:space="preserve"> </w:t>
      </w:r>
      <w:r>
        <w:rPr>
          <w:b/>
          <w:bCs/>
        </w:rPr>
        <w:t xml:space="preserve">uyum matrisini</w:t>
      </w:r>
      <w:r>
        <w:t xml:space="preserve"> </w:t>
      </w:r>
      <w:r>
        <w:t xml:space="preserve">satır satır okur ve</w:t>
      </w:r>
      <w:r>
        <w:t xml:space="preserve"> </w:t>
      </w:r>
      <w:r>
        <w:rPr>
          <w:b/>
          <w:bCs/>
        </w:rPr>
        <w:t xml:space="preserve">kanıtı olmayan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t xml:space="preserve"> </w:t>
      </w:r>
      <w:r>
        <w:t xml:space="preserve">satırlarını kırmızı bayrakla işaretler. İkinci demo örnek gereksinimleri tarar;</w:t>
      </w:r>
      <w:r>
        <w:t xml:space="preserve"> </w:t>
      </w:r>
      <w:r>
        <w:t xml:space="preserve">“güvenli olmalı”</w:t>
      </w:r>
      <w:r>
        <w:t xml:space="preserve">,</w:t>
      </w:r>
      <w:r>
        <w:t xml:space="preserve"> </w:t>
      </w:r>
      <w:r>
        <w:t xml:space="preserve">“uygun şekilde”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belirsiz/ölçülemez</w:t>
      </w:r>
      <w:r>
        <w:t xml:space="preserve"> </w:t>
      </w:r>
      <w:r>
        <w:t xml:space="preserve">ifadeleri</w:t>
      </w:r>
      <w:r>
        <w:t xml:space="preserve"> </w:t>
      </w:r>
      <w:r>
        <w:rPr>
          <w:b/>
          <w:bCs/>
        </w:rPr>
        <w:t xml:space="preserve">ZAYIF</w:t>
      </w:r>
      <w:r>
        <w:t xml:space="preserve"> </w:t>
      </w:r>
      <w:r>
        <w:t xml:space="preserve">diye işaretler ve</w:t>
      </w:r>
      <w:r>
        <w:t xml:space="preserve"> </w:t>
      </w:r>
      <w:r>
        <w:rPr>
          <w:b/>
          <w:bCs/>
        </w:rPr>
        <w:t xml:space="preserve">çıkış kodu = zayıf gereksinim sayısı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33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gereksinim-requirement-nedir"/>
    <w:p>
      <w:pPr>
        <w:pStyle w:val="Heading3"/>
      </w:pPr>
      <w:r>
        <w:t xml:space="preserve">Gereksinim (requirement)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sistemin</w:t>
      </w:r>
      <w:r>
        <w:t xml:space="preserve"> </w:t>
      </w:r>
      <w:r>
        <w:rPr>
          <w:b/>
          <w:bCs/>
        </w:rPr>
        <w:t xml:space="preserve">karşılaması gereken</w:t>
      </w:r>
      <w:r>
        <w:t xml:space="preserve"> </w:t>
      </w:r>
      <w:r>
        <w:t xml:space="preserve">bir koşul.</w:t>
      </w:r>
    </w:p>
    <w:p>
      <w:pPr>
        <w:pStyle w:val="Compact"/>
        <w:numPr>
          <w:ilvl w:val="0"/>
          <w:numId w:val="1002"/>
        </w:numPr>
      </w:pPr>
      <w:r>
        <w:t xml:space="preserve">Güvenlik gereksinimi: bir güvenlik koşulu.</w:t>
      </w:r>
    </w:p>
    <w:p>
      <w:pPr>
        <w:pStyle w:val="Compact"/>
        <w:numPr>
          <w:ilvl w:val="0"/>
          <w:numId w:val="1002"/>
        </w:numPr>
      </w:pPr>
      <w:r>
        <w:t xml:space="preserve">İyi gereksinim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(test edilebilir).</w:t>
      </w:r>
    </w:p>
    <w:bookmarkEnd w:id="20"/>
    <w:bookmarkStart w:id="21" w:name="üç-tür-gereksinim"/>
    <w:p>
      <w:pPr>
        <w:pStyle w:val="Heading3"/>
      </w:pPr>
      <w:r>
        <w:t xml:space="preserve">Üç tür gereksinim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İşlevsel:</w:t>
      </w:r>
      <w:r>
        <w:t xml:space="preserve"> </w:t>
      </w:r>
      <w:r>
        <w:t xml:space="preserve">hangi güvenlik işlevi olacak? (ör. veri AEAD ile korunur)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Güvence:</w:t>
      </w:r>
      <w:r>
        <w:t xml:space="preserve"> </w:t>
      </w:r>
      <w:r>
        <w:t xml:space="preserve">doğru yapıldığına nasıl güveneceğiz? (ör. test raporu)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Süreç:</w:t>
      </w:r>
      <w:r>
        <w:t xml:space="preserve"> </w:t>
      </w:r>
      <w:r>
        <w:t xml:space="preserve">kurum nasıl çalışmalı? (ör. her değişiklik incelenir)</w:t>
      </w:r>
    </w:p>
    <w:bookmarkEnd w:id="21"/>
    <w:bookmarkStart w:id="22" w:name="iyi-vs-kötü-gereksinim"/>
    <w:p>
      <w:pPr>
        <w:pStyle w:val="Heading3"/>
      </w:pPr>
      <w:r>
        <w:t xml:space="preserve">İyi vs kötü gereksinim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Kötü:</w:t>
      </w:r>
      <w:r>
        <w:t xml:space="preserve"> </w:t>
      </w:r>
      <w:r>
        <w:t xml:space="preserve">“Uygulama güvenli olmalıdır.”</w:t>
      </w:r>
      <w:r>
        <w:t xml:space="preserve"> </w:t>
      </w:r>
      <w:r>
        <w:t xml:space="preserve">(doğrulanamaz)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İyi:</w:t>
      </w:r>
      <w:r>
        <w:t xml:space="preserve"> </w:t>
      </w:r>
      <w:r>
        <w:t xml:space="preserve">“Sürüm derlemesi yığın koruyucu, PIE ve tam RELRO ile üretilmelidir.”</w:t>
      </w:r>
      <w:r>
        <w:t xml:space="preserve"> </w:t>
      </w:r>
      <w:r>
        <w:t xml:space="preserve">(ölçülebilir)</w:t>
      </w:r>
    </w:p>
    <w:bookmarkEnd w:id="22"/>
    <w:bookmarkStart w:id="23" w:name="izlenebilirlik-traceability"/>
    <w:p>
      <w:pPr>
        <w:pStyle w:val="Heading3"/>
      </w:pPr>
      <w:r>
        <w:t xml:space="preserve">İzlenebilirlik (traceability)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her gereksinimi bir</w:t>
      </w:r>
      <w:r>
        <w:t xml:space="preserve"> </w:t>
      </w:r>
      <w:r>
        <w:rPr>
          <w:b/>
          <w:bCs/>
        </w:rPr>
        <w:t xml:space="preserve">önleme</w:t>
      </w:r>
      <w:r>
        <w:t xml:space="preserve">,</w:t>
      </w:r>
      <w:r>
        <w:t xml:space="preserve"> </w:t>
      </w:r>
      <w:r>
        <w:rPr>
          <w:b/>
          <w:bCs/>
        </w:rPr>
        <w:t xml:space="preserve">teste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kanıta</w:t>
      </w:r>
      <w:r>
        <w:t xml:space="preserve"> </w:t>
      </w:r>
      <w:r>
        <w:t xml:space="preserve">bağlamak.</w:t>
      </w:r>
    </w:p>
    <w:p>
      <w:pPr>
        <w:pStyle w:val="Compact"/>
        <w:numPr>
          <w:ilvl w:val="0"/>
          <w:numId w:val="1005"/>
        </w:numPr>
      </w:pPr>
      <w:r>
        <w:t xml:space="preserve">“Bu gereksinim nerede karşılandı, nasıl doğrulandı?”</w:t>
      </w:r>
    </w:p>
    <w:bookmarkEnd w:id="23"/>
    <w:bookmarkStart w:id="24" w:name="uyum-matrisi"/>
    <w:p>
      <w:pPr>
        <w:pStyle w:val="Heading3"/>
      </w:pPr>
      <w:r>
        <w:t xml:space="preserve">Uyum matrisi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Uyum matrisi:</w:t>
      </w:r>
      <w:r>
        <w:t xml:space="preserve"> </w:t>
      </w:r>
      <w:r>
        <w:t xml:space="preserve">gereksinim → durum → bölüm → doğrulama → kanıt tablosu.</w:t>
      </w:r>
    </w:p>
    <w:p>
      <w:pPr>
        <w:pStyle w:val="Compact"/>
        <w:numPr>
          <w:ilvl w:val="0"/>
          <w:numId w:val="1006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S17</w:t>
      </w:r>
      <w:r>
        <w:t xml:space="preserve"> </w:t>
      </w:r>
      <w:r>
        <w:t xml:space="preserve">bölümü.</w:t>
      </w:r>
    </w:p>
    <w:p>
      <w:pPr>
        <w:pStyle w:val="Compact"/>
        <w:numPr>
          <w:ilvl w:val="0"/>
          <w:numId w:val="1006"/>
        </w:numPr>
      </w:pPr>
      <w:r>
        <w:t xml:space="preserve">Değerlendiricinin ilk baktığı yer.</w:t>
      </w:r>
    </w:p>
    <w:bookmarkEnd w:id="24"/>
    <w:bookmarkStart w:id="25" w:name="gereksinim-durumları"/>
    <w:p>
      <w:pPr>
        <w:pStyle w:val="Heading3"/>
      </w:pPr>
      <w:r>
        <w:t xml:space="preserve">Gereksinim durumları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Karşılandı:</w:t>
      </w:r>
      <w:r>
        <w:t xml:space="preserve"> </w:t>
      </w:r>
      <w:r>
        <w:t xml:space="preserve">ürün bu gereksinimi sağlar (kanıtla).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Devredildi:</w:t>
      </w:r>
      <w:r>
        <w:t xml:space="preserve"> </w:t>
      </w:r>
      <w:r>
        <w:t xml:space="preserve">başka bir taraf sağlar (kime, neden, nasıl).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henüz sağlanmıyor.</w:t>
      </w:r>
    </w:p>
    <w:bookmarkEnd w:id="25"/>
    <w:bookmarkStart w:id="26" w:name="devredilen-gereksinim"/>
    <w:p>
      <w:pPr>
        <w:pStyle w:val="Heading3"/>
      </w:pPr>
      <w:r>
        <w:t xml:space="preserve">Devredilen gereksinim</w:t>
      </w:r>
    </w:p>
    <w:p>
      <w:pPr>
        <w:pStyle w:val="Compact"/>
        <w:numPr>
          <w:ilvl w:val="0"/>
          <w:numId w:val="1008"/>
        </w:numPr>
      </w:pPr>
      <w:r>
        <w:t xml:space="preserve">Bir bileşen bir gereksinimi</w:t>
      </w:r>
      <w:r>
        <w:t xml:space="preserve"> </w:t>
      </w:r>
      <w:r>
        <w:rPr>
          <w:b/>
          <w:bCs/>
        </w:rPr>
        <w:t xml:space="preserve">karşılayamıyorsa</w:t>
      </w:r>
      <w:r>
        <w:t xml:space="preserve">, üst uygulamaya/OS’a</w:t>
      </w:r>
      <w:r>
        <w:t xml:space="preserve"> </w:t>
      </w:r>
      <w:r>
        <w:rPr>
          <w:b/>
          <w:bCs/>
        </w:rPr>
        <w:t xml:space="preserve">devreder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Kılavuza: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,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karşılanacağı yazılır.</w:t>
      </w:r>
    </w:p>
    <w:p>
      <w:pPr>
        <w:pStyle w:val="Compact"/>
        <w:numPr>
          <w:ilvl w:val="0"/>
          <w:numId w:val="1008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S14</w:t>
      </w:r>
      <w:r>
        <w:t xml:space="preserve"> </w:t>
      </w:r>
      <w:r>
        <w:t xml:space="preserve">bölümü.</w:t>
      </w:r>
    </w:p>
    <w:bookmarkEnd w:id="26"/>
    <w:bookmarkStart w:id="27" w:name="ortak-kriterler-cc"/>
    <w:p>
      <w:pPr>
        <w:pStyle w:val="Heading3"/>
      </w:pPr>
      <w:r>
        <w:t xml:space="preserve">Ortak Kriterler (CC)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Ortak Kriterler (ISO/IEC 15408):</w:t>
      </w:r>
      <w:r>
        <w:t xml:space="preserve"> </w:t>
      </w:r>
      <w:r>
        <w:t xml:space="preserve">ürün güvenliği değerlendirme standardı.</w:t>
      </w:r>
    </w:p>
    <w:p>
      <w:pPr>
        <w:pStyle w:val="Compact"/>
        <w:numPr>
          <w:ilvl w:val="0"/>
          <w:numId w:val="1009"/>
        </w:numPr>
      </w:pPr>
      <w:r>
        <w:t xml:space="preserve">Kavramlar: TOE, ST, PP, SFR, SAR, EAL (birazdan).</w:t>
      </w:r>
    </w:p>
    <w:bookmarkEnd w:id="27"/>
    <w:bookmarkStart w:id="28" w:name="cc-temel-terimler"/>
    <w:p>
      <w:pPr>
        <w:pStyle w:val="Heading3"/>
      </w:pPr>
      <w:r>
        <w:t xml:space="preserve">CC · temel terimler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TOE:</w:t>
      </w:r>
      <w:r>
        <w:t xml:space="preserve"> </w:t>
      </w:r>
      <w:r>
        <w:t xml:space="preserve">değerlendirilen ürün.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 (Security Target):</w:t>
      </w:r>
      <w:r>
        <w:t xml:space="preserve"> </w:t>
      </w:r>
      <w:r>
        <w:t xml:space="preserve">bu ürünün güvenlik hedefi belgesi.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PP (Protection Profile):</w:t>
      </w:r>
      <w:r>
        <w:t xml:space="preserve"> </w:t>
      </w:r>
      <w:r>
        <w:t xml:space="preserve">bir ürün</w:t>
      </w:r>
      <w:r>
        <w:t xml:space="preserve"> </w:t>
      </w:r>
      <w:r>
        <w:rPr>
          <w:b/>
          <w:bCs/>
        </w:rPr>
        <w:t xml:space="preserve">sınıfı</w:t>
      </w:r>
      <w:r>
        <w:t xml:space="preserve"> </w:t>
      </w:r>
      <w:r>
        <w:t xml:space="preserve">için ortak gereksinim seti.</w:t>
      </w:r>
    </w:p>
    <w:bookmarkEnd w:id="28"/>
    <w:bookmarkStart w:id="29" w:name="cc-sfr-sar-eal"/>
    <w:p>
      <w:pPr>
        <w:pStyle w:val="Heading3"/>
      </w:pPr>
      <w:r>
        <w:t xml:space="preserve">CC · SFR, SAR, EAL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SFR: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işlevsel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güvence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EAL:</w:t>
      </w:r>
      <w:r>
        <w:t xml:space="preserve"> </w:t>
      </w:r>
      <w:r>
        <w:t xml:space="preserve">değerlendirmenin</w:t>
      </w:r>
      <w:r>
        <w:t xml:space="preserve"> </w:t>
      </w:r>
      <w:r>
        <w:rPr>
          <w:b/>
          <w:bCs/>
        </w:rPr>
        <w:t xml:space="preserve">derinlik</w:t>
      </w:r>
      <w:r>
        <w:t xml:space="preserve"> </w:t>
      </w:r>
      <w:r>
        <w:t xml:space="preserve">düzeyi (EAL1–EAL7).</w:t>
      </w:r>
    </w:p>
    <w:bookmarkEnd w:id="29"/>
    <w:bookmarkStart w:id="30" w:name="fips-140-3"/>
    <w:p>
      <w:pPr>
        <w:pStyle w:val="Heading3"/>
      </w:pPr>
      <w:r>
        <w:t xml:space="preserve">FIPS 140-3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FIPS 140-3:</w:t>
      </w:r>
      <w:r>
        <w:t xml:space="preserve"> </w:t>
      </w:r>
      <w:r>
        <w:t xml:space="preserve">kriptografik</w:t>
      </w:r>
      <w:r>
        <w:t xml:space="preserve"> </w:t>
      </w:r>
      <w:r>
        <w:rPr>
          <w:b/>
          <w:bCs/>
        </w:rPr>
        <w:t xml:space="preserve">modüllerin</w:t>
      </w:r>
      <w:r>
        <w:t xml:space="preserve"> </w:t>
      </w:r>
      <w:r>
        <w:t xml:space="preserve">doğrulanması standardı.</w:t>
      </w:r>
    </w:p>
    <w:p>
      <w:pPr>
        <w:pStyle w:val="Compact"/>
        <w:numPr>
          <w:ilvl w:val="0"/>
          <w:numId w:val="1012"/>
        </w:numPr>
      </w:pPr>
      <w:r>
        <w:t xml:space="preserve">Güvenlik düzeyleri (1–4).</w:t>
      </w:r>
    </w:p>
    <w:p>
      <w:pPr>
        <w:pStyle w:val="Compact"/>
        <w:numPr>
          <w:ilvl w:val="0"/>
          <w:numId w:val="1012"/>
        </w:numPr>
      </w:pPr>
      <w:r>
        <w:t xml:space="preserve">Yalnız modülü kapsar, uygulamanın tamamını değil.</w:t>
      </w:r>
    </w:p>
    <w:bookmarkEnd w:id="30"/>
    <w:bookmarkStart w:id="31" w:name="sektör-standartları"/>
    <w:p>
      <w:pPr>
        <w:pStyle w:val="Heading3"/>
      </w:pPr>
      <w:r>
        <w:t xml:space="preserve">Sektör standartları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ETSI EN 303 645:</w:t>
      </w:r>
      <w:r>
        <w:t xml:space="preserve"> </w:t>
      </w:r>
      <w:r>
        <w:t xml:space="preserve">IoT temel güvenlik.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GSMA, EMVCo, PCI:</w:t>
      </w:r>
      <w:r>
        <w:t xml:space="preserve"> </w:t>
      </w:r>
      <w:r>
        <w:t xml:space="preserve">mobil/ödeme.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OWASP MASVS:</w:t>
      </w:r>
      <w:r>
        <w:t xml:space="preserve"> </w:t>
      </w:r>
      <w:r>
        <w:t xml:space="preserve">mobil uygulama gereksinimleri.</w:t>
      </w:r>
    </w:p>
    <w:bookmarkEnd w:id="31"/>
    <w:bookmarkStart w:id="32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gereksinim (işlevsel/güvence/süreç) · izlenebilirlik · uyum matrisi · durum (karşılandı/devredildi/karşılanmadı) · devredilen · CC (TOE/ST/PP/SFR/SAR/EAL) · FIPS 140-3 · ETSI/GSMA/EMVCo/PCI/MASVS</w:t>
      </w:r>
    </w:p>
    <w:p>
      <w:pPr>
        <w:pStyle w:val="BodyText"/>
      </w:pPr>
      <w:r>
        <w:t xml:space="preserve">Şimdi: iyi gereksinim nasıl yazılır?</w:t>
      </w:r>
    </w:p>
    <w:bookmarkEnd w:id="32"/>
    <w:bookmarkEnd w:id="33"/>
    <w:bookmarkStart w:id="36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p>
      <w:pPr>
        <w:pStyle w:val="BlockText"/>
      </w:pPr>
      <w:r>
        <w:rPr>
          <w:b/>
          <w:bCs/>
        </w:rPr>
        <w:t xml:space="preserve">Kısa tarihçe: güvenlik gereksinimleri nasıl standartlaştı?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 güvenlik</w:t>
      </w:r>
      <w:r>
        <w:t xml:space="preserve"> </w:t>
      </w:r>
      <w:r>
        <w:rPr>
          <w:b/>
          <w:bCs/>
        </w:rPr>
        <w:t xml:space="preserve">gereksinim düzeylerini</w:t>
      </w:r>
      <w:r>
        <w:t xml:space="preserve"> </w:t>
      </w:r>
      <w:r>
        <w:t xml:space="preserve">ilk kez resmîleştirir.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kriptografik modül gereksinimleri (bugün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: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kavramları buradan gelir (12. hafta süreci).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sektöre özgü setler: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, ödeme için</w:t>
      </w:r>
      <w:r>
        <w:t xml:space="preserve"> </w:t>
      </w:r>
      <w:r>
        <w:rPr>
          <w:b/>
          <w:bCs/>
        </w:rPr>
        <w:t xml:space="preserve">EMVCo/PCI</w:t>
      </w:r>
      <w:r>
        <w:t xml:space="preserve">.</w:t>
      </w:r>
    </w:p>
    <w:p>
      <w:pPr>
        <w:pStyle w:val="BlockText"/>
      </w:pPr>
      <w:r>
        <w:t xml:space="preserve">Değişmeyen ilke: iyi gereksinim</w:t>
      </w:r>
      <w:r>
        <w:t xml:space="preserve"> </w:t>
      </w:r>
      <w:r>
        <w:rPr>
          <w:b/>
          <w:bCs/>
        </w:rPr>
        <w:t xml:space="preserve">ölçülebilir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olmalıdır;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geçersizdir.</w:t>
      </w:r>
    </w:p>
    <w:bookmarkStart w:id="34" w:name="üç-tür-gereksinim-1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34"/>
    <w:bookmarkStart w:id="35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Gereksinimden kanıta izlenebilirlik zinciri" title="" id="38" name="Picture"/>
            <a:graphic>
              <a:graphicData uri="http://schemas.openxmlformats.org/drawingml/2006/picture">
                <pic:pic>
                  <pic:nvPicPr>
                    <pic:cNvPr descr="h13-01-izlenebilirlik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p>
      <w:r>
        <w:pict>
          <v:rect style="width:0;height:1.5pt" o:hralign="center" o:hrstd="t" o:hr="t"/>
        </w:pict>
      </w:r>
    </w:p>
    <w:bookmarkEnd w:id="40"/>
    <w:bookmarkStart w:id="44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41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41"/>
    <w:bookmarkStart w:id="42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42"/>
    <w:bookmarkStart w:id="43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bookmarkStart w:id="45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Start w:id="46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46"/>
    <w:bookmarkStart w:id="47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bookmarkStart w:id="49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49"/>
    <w:bookmarkStart w:id="50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15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15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15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15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52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52"/>
    <w:bookmarkStart w:id="53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53"/>
    <w:bookmarkStart w:id="54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54"/>
    <w:bookmarkStart w:id="55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Gereksinimi projeye aktarma karar akışı" title="" id="58" name="Picture"/>
            <a:graphic>
              <a:graphicData uri="http://schemas.openxmlformats.org/drawingml/2006/picture">
                <pic:pic>
                  <pic:nvPicPr>
                    <pic:cNvPr descr="h13-02-gereksinim-karari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p>
      <w:r>
        <w:pict>
          <v:rect style="width:0;height:1.5pt" o:hralign="center" o:hrstd="t" o:hr="t"/>
        </w:pict>
      </w:r>
    </w:p>
    <w:bookmarkEnd w:id="60"/>
    <w:bookmarkStart w:id="61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17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17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17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17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p>
      <w:r>
        <w:pict>
          <v:rect style="width:0;height:1.5pt" o:hralign="center" o:hrstd="t" o:hr="t"/>
        </w:pict>
      </w:r>
    </w:p>
    <w:bookmarkEnd w:id="61"/>
    <w:bookmarkStart w:id="62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21"/>
        </w:numPr>
      </w:pPr>
      <w:r>
        <w:t xml:space="preserve">Varlık tablonuzu (S5) gereksinimlere göre gözden geçirin: her varlığın yaşam döngüsü ve koruma sınıfı dolu mu?</w:t>
      </w:r>
    </w:p>
    <w:p>
      <w:r>
        <w:pict>
          <v:rect style="width:0;height:1.5pt" o:hralign="center" o:hrstd="t" o:hr="t"/>
        </w:pict>
      </w:r>
    </w:p>
    <w:bookmarkEnd w:id="62"/>
    <w:bookmarkStart w:id="63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p>
      <w:r>
        <w:pict>
          <v:rect style="width:0;height:1.5pt" o:hralign="center" o:hrstd="t" o:hr="t"/>
        </w:pict>
      </w:r>
    </w:p>
    <w:bookmarkEnd w:id="63"/>
    <w:bookmarkStart w:id="64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r>
        <w:pict>
          <v:rect style="width:0;height:1.5pt" o:hralign="center" o:hrstd="t" o:hr="t"/>
        </w:pict>
      </w:r>
    </w:p>
    <w:bookmarkEnd w:id="64"/>
    <w:bookmarkStart w:id="65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2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22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22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22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22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22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22"/>
        </w:numPr>
      </w:pPr>
      <w:r>
        <w:t xml:space="preserve">RFC 2119 / RFC 8174 (zorunluluk sözcükleri).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65"/>
    <w:bookmarkEnd w:id="6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2026-09-22T23:27:57Z</dcterms:created>
  <dcterms:modified xsi:type="dcterms:W3CDTF">2026-09-22T23:27:57Z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