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7.png" ContentType="image/png"/>
  <Override PartName="/word/media/rId43.png" ContentType="image/png"/>
  <Override PartName="/word/media/rId50.png" ContentType="image/png"/>
  <Override PartName="/word/media/rId92.png" ContentType="image/png"/>
  <Override PartName="/word/media/rId124.png" ContentType="image/png"/>
  <Override PartName="/word/media/rId135.png" ContentType="image/png"/>
  <Override PartName="/word/media/rId99.png" ContentType="image/png"/>
  <Override PartName="/word/media/rId33.png" ContentType="image/png"/>
  <Override PartName="/word/media/rId55.png" ContentType="image/png"/>
  <Override PartName="/word/media/rId64.png" ContentType="image/png"/>
  <Override PartName="/word/media/rId71.png" ContentType="image/png"/>
  <Override PartName="/word/media/rId76.png" ContentType="image/png"/>
  <Override PartName="/word/media/rId84.png" ContentType="image/png"/>
  <Override PartName="/word/media/rId116.png" ContentType="image/png"/>
  <Override PartName="/word/media/rId111.png" ContentType="image/png"/>
  <Override PartName="/word/media/rId12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Hafta 1</w:t>
              </w:r>
            </w:hyperlink>
            <w:r>
              <w:t xml:space="preserve"> </w:t>
            </w:r>
            <w:r>
              <w:t xml:space="preserve">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27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</w:t>
      </w:r>
    </w:p>
    <w:bookmarkStart w:id="25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Varlık, tehdit, zafiyet, risk ve saldırgan modeli</w:t>
      </w:r>
      <w:r>
        <w:t xml:space="preserve"> </w:t>
      </w:r>
      <w:r>
        <w:t xml:space="preserve">— bir varlığın değerini, ona yönelik tehdidi, tehdidi</w:t>
      </w:r>
      <w:r>
        <w:t xml:space="preserve"> </w:t>
      </w:r>
      <w:r>
        <w:t xml:space="preserve">mümkün kılan zayıflığı (zafiyet) ve olasılık × etki çarpımı olan riski ayırt etme dili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Hafta 1, §1</w:t>
        </w:r>
      </w:hyperlink>
      <w:r>
        <w:t xml:space="preserve">; saldırgan modeli için</w:t>
      </w:r>
      <w:r>
        <w:t xml:space="preserve"> </w:t>
      </w:r>
      <w:hyperlink r:id="rId23">
        <w:r>
          <w:rPr>
            <w:rStyle w:val="Hyperlink"/>
          </w:rPr>
          <w:t xml:space="preserve">Hafta 1, §3</w:t>
        </w:r>
      </w:hyperlink>
      <w:r>
        <w:t xml:space="preserve">). Bu hafta bu dili zararlı yazılım</w:t>
      </w:r>
      <w:r>
        <w:t xml:space="preserve"> </w:t>
      </w:r>
      <w:r>
        <w:t xml:space="preserve">(tehdit tarafı) ve erişim modelleri (savunma tarafı) üzerinden somutlaştırıyoruz.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STRIDE ve saldırı ağacı</w:t>
      </w:r>
      <w:r>
        <w:t xml:space="preserve"> </w:t>
      </w:r>
      <w:r>
        <w:t xml:space="preserve">— bir arayüzdeki tehdit türlerini STRIDE’ın altı harfiyle sorup, bulunan tehditleri</w:t>
      </w:r>
      <w:r>
        <w:t xml:space="preserve"> </w:t>
      </w:r>
      <w:r>
        <w:t xml:space="preserve">kök hedeften dallara VE/VEYA mantığıyla ayrıştırma yöntemi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Hafta 1, §7</w:t>
        </w:r>
      </w:hyperlink>
      <w:r>
        <w:t xml:space="preserve">). Bu hafta saldırı</w:t>
      </w:r>
      <w:r>
        <w:t xml:space="preserve"> </w:t>
      </w:r>
      <w:r>
        <w:t xml:space="preserve">ağacına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ekleyip en ucuz saldırı yolunu hesaplıyoruz (</w:t>
      </w:r>
      <w:hyperlink w:anchor="Xcdab27a44d4c1efc3a5d655526bc574b6d86969">
        <w:r>
          <w:rPr>
            <w:rStyle w:val="Hyperlink"/>
          </w:rPr>
          <w:t xml:space="preserve">§8</w:t>
        </w:r>
      </w:hyperlink>
      <w:r>
        <w:t xml:space="preserve">, Demo 04).</w:t>
      </w:r>
    </w:p>
    <w:bookmarkEnd w:id="25"/>
    <w:bookmarkStart w:id="26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Zararlı yazılım (malware)</w:t>
            </w:r>
          </w:p>
        </w:tc>
        <w:tc>
          <w:tcPr/>
          <w:p>
            <w:pPr>
              <w:pStyle w:val="Compact"/>
            </w:pPr>
            <w:r>
              <w:t xml:space="preserve">Sahibinin izni ve bilgisi dışında zarar vermek, veri çalmak ya da kontrolü ele geçirmek için yazılmış her programdır; virüs bunun yalnızca bir alt türüdür.</w:t>
            </w:r>
          </w:p>
        </w:tc>
        <w:tc>
          <w:tcPr/>
          <w:p>
            <w:pPr>
              <w:pStyle w:val="Compact"/>
            </w:pPr>
            <w:hyperlink w:anchor="X06b4663c5dad4074c5f4c2fa69a33fe29b37bef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Bir virüsün üç parçası</w:t>
            </w:r>
          </w:p>
        </w:tc>
        <w:tc>
          <w:tcPr/>
          <w:p>
            <w:pPr>
              <w:pStyle w:val="Compact"/>
            </w:pPr>
            <w:r>
              <w:t xml:space="preserve">Bir virüs, nasıl yayıldığını belirleyen bulaştırıcı, ne zaman etkinleştiğini belirleyen tetikleyici ve asıl zararı yapan yük olmak üzere üç işleve ayrılır.</w:t>
            </w:r>
          </w:p>
        </w:tc>
        <w:tc>
          <w:tcPr/>
          <w:p>
            <w:pPr>
              <w:pStyle w:val="Compact"/>
            </w:pPr>
            <w:hyperlink w:anchor="X74bdcd4978cb6b13ee8d323ff06e070f29ea2ed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Zararlı yazılım türleri</w:t>
            </w:r>
          </w:p>
        </w:tc>
        <w:tc>
          <w:tcPr/>
          <w:p>
            <w:pPr>
              <w:pStyle w:val="Compact"/>
            </w:pPr>
            <w:r>
              <w:t xml:space="preserve">Virüs bir taşıyıcıya bulaşır, solucan kendi başına ağdan yayılır, truva atı masum görünüp gizli zarar taşır, fidye yazılımı dosyaları şifreler; rootkit, bot, casus yazılım ve silici bu aileye eklenen diğer türlerdir.</w:t>
            </w:r>
          </w:p>
        </w:tc>
        <w:tc>
          <w:tcPr/>
          <w:p>
            <w:pPr>
              <w:pStyle w:val="Compact"/>
            </w:pPr>
            <w:hyperlink w:anchor="X74bdcd4978cb6b13ee8d323ff06e070f29ea2ed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Gizlenme: polimorfik/metamorfik</w:t>
            </w:r>
          </w:p>
        </w:tc>
        <w:tc>
          <w:tcPr/>
          <w:p>
            <w:pPr>
              <w:pStyle w:val="Compact"/>
            </w:pPr>
            <w:r>
              <w:t xml:space="preserve">Polimorfik zararlı gövdesini şifreli tutup yalnız çözücüyü her kopyada değiştirir, metamorfik zararlı ise şifreleme kullanmadan kodun tamamını yeniden yazar; ikisinin de amacı imza tabanlı tespitten kaçmaktır.</w:t>
            </w:r>
          </w:p>
        </w:tc>
        <w:tc>
          <w:tcPr/>
          <w:p>
            <w:pPr>
              <w:pStyle w:val="Compact"/>
            </w:pPr>
            <w:hyperlink w:anchor="Xf966e7a2a7368559dda521c1012327d80180fb3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Tespit yöntemleri</w:t>
            </w:r>
          </w:p>
        </w:tc>
        <w:tc>
          <w:tcPr/>
          <w:p>
            <w:pPr>
              <w:pStyle w:val="Compact"/>
            </w:pPr>
            <w:r>
              <w:t xml:space="preserve">Zararlı tespiti imza (bilinenin parmak izini arama), sezgisel (şüpheli özelliklere puan verme), davranış tabanlı (çalışırkenki eylemleri izleme), kum havuzu ve emülasyon (yalıtılmış ortamda çalıştırma) gibi katmanlı yöntemler kullanır.</w:t>
            </w:r>
          </w:p>
        </w:tc>
        <w:tc>
          <w:tcPr/>
          <w:p>
            <w:pPr>
              <w:pStyle w:val="Compact"/>
            </w:pPr>
            <w:hyperlink w:anchor="Xd5ca0849bffa1fd3cec403f5040351894ecdd93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Bir verinin baytlarındaki rastgeleliği 0 (tekdüze) ile 8 (tam rastgele) arasında ölçen değerdir; şifreli/paketlenmiş içerik genelde yüksek entropili görünür, ama bu tek başına zararlı olduğunu kanıtlamaz.</w:t>
            </w:r>
          </w:p>
        </w:tc>
        <w:tc>
          <w:tcPr/>
          <w:p>
            <w:pPr>
              <w:pStyle w:val="Compact"/>
            </w:pPr>
            <w:hyperlink w:anchor="X4723d3d9eefa717246993f55d42efcec28ae2e7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Erişim denetimi</w:t>
            </w:r>
          </w:p>
        </w:tc>
        <w:tc>
          <w:tcPr/>
          <w:p>
            <w:pPr>
              <w:pStyle w:val="Compact"/>
            </w:pPr>
            <w:r>
              <w:t xml:space="preserve">“Bu özne, bu nesne üzerinde bu işlemi yapabilir mi?”</w:t>
            </w:r>
            <w:r>
              <w:t xml:space="preserve"> </w:t>
            </w:r>
            <w:r>
              <w:t xml:space="preserve">sorusunu düzenleyen; özne, nesne ve hak üçlüsünü bir erişim matrisiyle ifade eden çerçevedir.</w:t>
            </w:r>
          </w:p>
        </w:tc>
        <w:tc>
          <w:tcPr/>
          <w:p>
            <w:pPr>
              <w:pStyle w:val="Compact"/>
            </w:pPr>
            <w:hyperlink w:anchor="X4ef45d1a77dd606b28ff23623c8e59d3aeed4de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DAC’ta izinleri nesnenin sahibi belirler, MAC’ta sistem/politika zorunlu kurallar koyar, RBAC’ta izinler kişilere değil rollere verilir.</w:t>
            </w:r>
          </w:p>
        </w:tc>
        <w:tc>
          <w:tcPr/>
          <w:p>
            <w:pPr>
              <w:pStyle w:val="Compact"/>
            </w:pPr>
            <w:hyperlink w:anchor="X4ef45d1a77dd606b28ff23623c8e59d3aeed4de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Bell–LaPadula, Biba, Clark–Wilson</w:t>
            </w:r>
          </w:p>
        </w:tc>
        <w:tc>
          <w:tcPr/>
          <w:p>
            <w:pPr>
              <w:pStyle w:val="Compact"/>
            </w:pPr>
            <w:r>
              <w:t xml:space="preserve">Bell–LaPadula</w:t>
            </w:r>
            <w:r>
              <w:t xml:space="preserve"> </w:t>
            </w:r>
            <w:r>
              <w:t xml:space="preserve">“yukarı okuma yok, aşağı yazma yok”</w:t>
            </w:r>
            <w:r>
              <w:t xml:space="preserve"> </w:t>
            </w:r>
            <w:r>
              <w:t xml:space="preserve">kurallarıyla gizliliği, Biba bunun tersini uygulayarak bütünlüğü, Clark–Wilson ise iyi biçimli işlemler ve görev ayrılığıyla ticari bütünlüğü korur.</w:t>
            </w:r>
          </w:p>
        </w:tc>
        <w:tc>
          <w:tcPr/>
          <w:p>
            <w:pPr>
              <w:pStyle w:val="Compact"/>
            </w:pPr>
            <w:hyperlink w:anchor="X64177af9b8736c3c0192d668d853da808da986e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Denetim kaydı (audit log)</w:t>
            </w:r>
          </w:p>
        </w:tc>
        <w:tc>
          <w:tcPr/>
          <w:p>
            <w:pPr>
              <w:pStyle w:val="Compact"/>
            </w:pPr>
            <w:r>
              <w:t xml:space="preserve">Kimin, ne zaman, neyi yaptığını kanıt olarak tutan; kurcalamaya karşı anahtarlı bir özetle (HMAC) mühürlenmesi gereken günlüktür.</w:t>
            </w:r>
          </w:p>
        </w:tc>
        <w:tc>
          <w:tcPr/>
          <w:p>
            <w:pPr>
              <w:pStyle w:val="Compact"/>
            </w:pPr>
            <w:hyperlink w:anchor="X9f4e95607630dcc01e51e705b1a839734d52dd0">
              <w:r>
                <w:rPr>
                  <w:rStyle w:val="Hyperlink"/>
                </w:rPr>
                <w:t xml:space="preserve">§9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MITRE’ın yürüttüğü, belirli bir açığı değil zayıflığın</w:t>
            </w:r>
            <w:r>
              <w:t xml:space="preserve"> </w:t>
            </w:r>
            <w:r>
              <w:rPr>
                <w:b/>
                <w:bCs/>
              </w:rPr>
              <w:t xml:space="preserve">türünü</w:t>
            </w:r>
            <w:r>
              <w:t xml:space="preserve"> </w:t>
            </w:r>
            <w:r>
              <w:t xml:space="preserve">numaralandıran kataloğudur.</w:t>
            </w:r>
          </w:p>
        </w:tc>
        <w:tc>
          <w:tcPr/>
          <w:p>
            <w:pPr>
              <w:pStyle w:val="Compact"/>
            </w:pPr>
            <w:hyperlink w:anchor="X403023bedd6494c064475adb0d05f4d74ea1633">
              <w:r>
                <w:rPr>
                  <w:rStyle w:val="Hyperlink"/>
                </w:rPr>
                <w:t xml:space="preserve">§13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CVE ve CVSS</w:t>
            </w:r>
          </w:p>
        </w:tc>
        <w:tc>
          <w:tcPr/>
          <w:p>
            <w:pPr>
              <w:pStyle w:val="Compact"/>
            </w:pPr>
            <w:r>
              <w:t xml:space="preserve">CVE, belirli bir üründeki belirli bir açığın benzersiz kimliğidir; CVSS ise o açığın ciddiyetini 0–10 arasında bir sayıya çeviren puanlama sistemidir.</w:t>
            </w:r>
          </w:p>
        </w:tc>
        <w:tc>
          <w:tcPr/>
          <w:p>
            <w:pPr>
              <w:pStyle w:val="Compact"/>
            </w:pPr>
            <w:hyperlink w:anchor="X2834a654dc098540b00f0ee5ef3821a2dbfd4ab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OWASP Top 10 ve MASVS</w:t>
            </w:r>
          </w:p>
        </w:tc>
        <w:tc>
          <w:tcPr/>
          <w:p>
            <w:pPr>
              <w:pStyle w:val="Compact"/>
            </w:pPr>
            <w:r>
              <w:t xml:space="preserve">CWE’nin kapsadığı zayıflıkları web (Top 10, ASVS) ve mobil (MASVS) için önceliklendirilmiş, doğrulanabilir listelere çeviren belgelerdir.</w:t>
            </w:r>
          </w:p>
        </w:tc>
        <w:tc>
          <w:tcPr/>
          <w:p>
            <w:pPr>
              <w:pStyle w:val="Compact"/>
            </w:pPr>
            <w:hyperlink w:anchor="Xb6de99161c9ec17d1930aff7b08e614c32c6e9d">
              <w:r>
                <w:rPr>
                  <w:rStyle w:val="Hyperlink"/>
                </w:rPr>
                <w:t xml:space="preserve">§14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Zafiyet yaşam döngüsü</w:t>
            </w:r>
          </w:p>
        </w:tc>
        <w:tc>
          <w:tcPr/>
          <w:p>
            <w:pPr>
              <w:pStyle w:val="Compact"/>
            </w:pPr>
            <w:r>
              <w:t xml:space="preserve">Bir açığın keşiften kamuya açılmaya kadar geçirdiği; sorumlu ifşa ve yama boşluğu kavramlarını içeren süreçtir.</w:t>
            </w:r>
          </w:p>
        </w:tc>
        <w:tc>
          <w:tcPr/>
          <w:p>
            <w:pPr>
              <w:pStyle w:val="Compact"/>
            </w:pPr>
            <w:hyperlink w:anchor="Xa51b42deff55dbb615ce1a05d063645736644e3">
              <w:r>
                <w:rPr>
                  <w:rStyle w:val="Hyperlink"/>
                </w:rPr>
                <w:t xml:space="preserve">§16</w:t>
              </w:r>
            </w:hyperlink>
          </w:p>
        </w:tc>
      </w:tr>
    </w:tbl>
    <w:bookmarkEnd w:id="26"/>
    <w:bookmarkEnd w:id="27"/>
    <w:bookmarkStart w:id="32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hyperlink r:id="rId22">
        <w:r>
          <w:rPr>
            <w:rStyle w:val="Hyperlink"/>
          </w:rPr>
          <w:t xml:space="preserve">Geçen hafta</w:t>
        </w:r>
      </w:hyperlink>
      <w:r>
        <w:t xml:space="preserve"> </w:t>
      </w:r>
      <w:r>
        <w:t xml:space="preserve">güvenliğin dilini kurduk: varlık, tehdit, zafiyet, risk;</w:t>
      </w:r>
      <w:r>
        <w:t xml:space="preserve"> </w:t>
      </w:r>
      <w:r>
        <w:t xml:space="preserve">saldırgan modeli; STRIDE ve saldırı ağacı (</w:t>
      </w:r>
      <w:hyperlink r:id="rId24">
        <w:r>
          <w:rPr>
            <w:rStyle w:val="Hyperlink"/>
          </w:rPr>
          <w:t xml:space="preserve">Hafta 1, §7</w:t>
        </w:r>
      </w:hyperlink>
      <w:r>
        <w:t xml:space="preserve">).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1899260"/>
            <wp:effectExtent b="0" l="0" r="0" t="0"/>
            <wp:docPr descr="Tehdit, savunma ve ortak dil: haftanın üç parçası" title="" id="29" name="Picture"/>
            <a:graphic>
              <a:graphicData uri="http://schemas.openxmlformats.org/drawingml/2006/picture">
                <pic:pic>
                  <pic:nvPicPr>
                    <pic:cNvPr descr="h02-01-haftanin-resm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99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</w:t>
      </w:r>
      <w:r>
        <w:t xml:space="preserve"> </w:t>
      </w:r>
      <w:hyperlink r:id="rId31">
        <w:r>
          <w:rPr>
            <w:rStyle w:val="Hyperlink"/>
          </w:rPr>
          <w:t xml:space="preserve">11. hafta</w:t>
        </w:r>
      </w:hyperlink>
      <w:r>
        <w:t xml:space="preserve">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32"/>
    <w:bookmarkStart w:id="36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drawing>
          <wp:inline>
            <wp:extent cx="5759999" cy="2386146"/>
            <wp:effectExtent b="0" l="0" r="0" t="0"/>
            <wp:docPr descr="Zararlı yazılımın kısa tarihi" title="" id="34" name="Picture"/>
            <a:graphic>
              <a:graphicData uri="http://schemas.openxmlformats.org/drawingml/2006/picture">
                <pic:pic>
                  <pic:nvPicPr>
                    <pic:cNvPr descr="h02-09-zararli-tarih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36"/>
    <w:bookmarkStart w:id="42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0" w:name="bir-virüsün-üç-parçası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3372521"/>
            <wp:effectExtent b="0" l="0" r="0" t="0"/>
            <wp:docPr descr="Virüsün üç parçası: bulaştırıcı, tetikleyici, yük" title="" id="38" name="Picture"/>
            <a:graphic>
              <a:graphicData uri="http://schemas.openxmlformats.org/drawingml/2006/picture">
                <pic:pic>
                  <pic:nvPicPr>
                    <pic:cNvPr descr="h02-02-virus-uc-parc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72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Normal kimlik doğrulamayı atlayan, saldırgana</w:t>
      </w:r>
      <w:r>
        <w:t xml:space="preserve"> </w:t>
      </w:r>
      <w:r>
        <w:rPr>
          <w:b/>
          <w:bCs/>
        </w:rPr>
        <w:t xml:space="preserve">gizli erişim</w:t>
      </w:r>
      <w:r>
        <w:t xml:space="preserve"> </w:t>
      </w:r>
      <w:r>
        <w:t xml:space="preserve">bırakan yük türüdür;</w:t>
      </w:r>
      <w:r>
        <w:t xml:space="preserve"> </w:t>
      </w:r>
      <w:r>
        <w:t xml:space="preserve">kendi başına yayılmaz, genellikle başka bir zararlının (truva atı, tedarik zinciri saldırısı) bıraktığı</w:t>
      </w:r>
      <w:r>
        <w:t xml:space="preserve"> </w:t>
      </w:r>
      <w:r>
        <w:t xml:space="preserve">kalıcı giriş noktasıdır — aşağıdaki SUNBURST olayı buna bir örnektir.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07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07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07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07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08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08"/>
        </w:numPr>
      </w:pPr>
      <w:r>
        <w:t xml:space="preserve">Fidye yazılımı.</w:t>
      </w:r>
    </w:p>
    <w:bookmarkEnd w:id="41"/>
    <w:bookmarkEnd w:id="42"/>
    <w:bookmarkStart w:id="49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46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153705"/>
            <wp:effectExtent b="0" l="0" r="0" t="0"/>
            <wp:docPr descr="Solucan salgınının üç evresi: açılış, patlama, doygunluk" title="" id="44" name="Picture"/>
            <a:graphic>
              <a:graphicData uri="http://schemas.openxmlformats.org/drawingml/2006/picture">
                <pic:pic>
                  <pic:nvPicPr>
                    <pic:cNvPr descr="h02-03-salgin-model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53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47"/>
    <w:bookmarkStart w:id="48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48"/>
    <w:bookmarkEnd w:id="49"/>
    <w:bookmarkStart w:id="54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811968"/>
            <wp:effectExtent b="0" l="0" r="0" t="0"/>
            <wp:docPr descr="Polimorfik virüste çözücü ve gövde değişir, açık gövde aynı kalır" title="" id="51" name="Picture"/>
            <a:graphic>
              <a:graphicData uri="http://schemas.openxmlformats.org/drawingml/2006/picture">
                <pic:pic>
                  <pic:nvPicPr>
                    <pic:cNvPr descr="h02-04-polimorfi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</w:t>
      </w:r>
      <w:r>
        <w:t xml:space="preserve"> </w:t>
      </w:r>
      <w:hyperlink r:id="rId31">
        <w:r>
          <w:rPr>
            <w:rStyle w:val="Hyperlink"/>
          </w:rPr>
          <w:t xml:space="preserve">11. hafta</w:t>
        </w:r>
      </w:hyperlink>
      <w:r>
        <w:t xml:space="preserve">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p>
      <w:pPr>
        <w:pStyle w:val="BodyText"/>
      </w:pPr>
      <w:r>
        <w:drawing>
          <wp:inline>
            <wp:extent cx="5759999" cy="2599621"/>
            <wp:effectExtent b="0" l="0" r="0" t="0"/>
            <wp:docPr descr="Karşı önlemlerin dört katmanı" title="" id="56" name="Picture"/>
            <a:graphic>
              <a:graphicData uri="http://schemas.openxmlformats.org/drawingml/2006/picture">
                <pic:pic>
                  <pic:nvPicPr>
                    <pic:cNvPr descr="h02-10-karsi-onlem-katmanlar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99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</w:t>
      </w:r>
      <w:hyperlink r:id="rId58">
        <w:r>
          <w:rPr>
            <w:rStyle w:val="Hyperlink"/>
          </w:rPr>
          <w:t xml:space="preserve">Hafta 9</w:t>
        </w:r>
      </w:hyperlink>
      <w:r>
        <w:t xml:space="preserve">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59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</w:t>
      </w:r>
      <w:r>
        <w:t xml:space="preserve"> </w:t>
      </w:r>
      <w:hyperlink r:id="rId31">
        <w:r>
          <w:rPr>
            <w:rStyle w:val="Hyperlink"/>
          </w:rPr>
          <w:t xml:space="preserve">11. hafta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11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59"/>
    <w:bookmarkStart w:id="60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dize (string)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0"/>
    <w:bookmarkStart w:id="62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</w:t>
      </w:r>
      <w:r>
        <w:t xml:space="preserve"> </w:t>
      </w:r>
      <w:hyperlink r:id="rId61">
        <w:r>
          <w:rPr>
            <w:rStyle w:val="Hyperlink"/>
          </w:rPr>
          <w:t xml:space="preserve">6. haftada</w:t>
        </w:r>
      </w:hyperlink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2"/>
    <w:bookmarkEnd w:id="63"/>
    <w:bookmarkStart w:id="70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p>
      <w:pPr>
        <w:pStyle w:val="BodyText"/>
      </w:pPr>
      <w:r>
        <w:drawing>
          <wp:inline>
            <wp:extent cx="5759999" cy="1711867"/>
            <wp:effectExtent b="0" l="0" r="0" t="0"/>
            <wp:docPr descr="Olay incelemelerinin ortak iskeleti" title="" id="65" name="Picture"/>
            <a:graphic>
              <a:graphicData uri="http://schemas.openxmlformats.org/drawingml/2006/picture">
                <pic:pic>
                  <pic:nvPicPr>
                    <pic:cNvPr descr="h02-11-olay-iskelet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11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(stack)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</w:t>
            </w:r>
            <w:hyperlink r:id="rId67">
              <w:r>
                <w:rPr>
                  <w:rStyle w:val="Hyperlink"/>
                </w:rPr>
                <w:t xml:space="preserve">5. haftadaki</w:t>
              </w:r>
            </w:hyperlink>
            <w:r>
              <w:t xml:space="preserve"> </w:t>
            </w:r>
            <w:r>
              <w:t xml:space="preserve">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</w:t>
      </w:r>
      <w:r>
        <w:t xml:space="preserve"> </w:t>
      </w:r>
      <w:hyperlink r:id="rId68">
        <w:r>
          <w:rPr>
            <w:rStyle w:val="Hyperlink"/>
          </w:rPr>
          <w:t xml:space="preserve">4. hafta</w:t>
        </w:r>
      </w:hyperlink>
      <w:r>
        <w:t xml:space="preserve">), öbür yanda</w:t>
      </w:r>
      <w:r>
        <w:t xml:space="preserve"> </w:t>
      </w:r>
      <w:r>
        <w:t xml:space="preserve">imzalı güncelleme, bütünlük doğrulaması ve tedarik zinciri güvenliği (3., 5. ve</w:t>
      </w:r>
      <w:r>
        <w:t xml:space="preserve"> </w:t>
      </w:r>
      <w:hyperlink r:id="rId69">
        <w:r>
          <w:rPr>
            <w:rStyle w:val="Hyperlink"/>
          </w:rPr>
          <w:t xml:space="preserve">10. hafta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70"/>
    <w:bookmarkStart w:id="75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</w:t>
      </w:r>
      <w:r>
        <w:t xml:space="preserve"> </w:t>
      </w:r>
      <w:hyperlink r:id="rId24">
        <w:r>
          <w:rPr>
            <w:rStyle w:val="Hyperlink"/>
          </w:rPr>
          <w:t xml:space="preserve">geçen hafta</w:t>
        </w:r>
      </w:hyperlink>
      <w:r>
        <w:t xml:space="preserve"> </w:t>
      </w:r>
      <w:r>
        <w:t xml:space="preserve">çizmiştik;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BodyText"/>
      </w:pPr>
      <w:r>
        <w:drawing>
          <wp:inline>
            <wp:extent cx="5759999" cy="2957545"/>
            <wp:effectExtent b="0" l="0" r="0" t="0"/>
            <wp:docPr descr="Saldırı ağacı kurmanın altı adımı" title="" id="72" name="Picture"/>
            <a:graphic>
              <a:graphicData uri="http://schemas.openxmlformats.org/drawingml/2006/picture">
                <pic:pic>
                  <pic:nvPicPr>
                    <pic:cNvPr descr="h02-12-saldiri-agaci-kurulu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57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13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74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</w:t>
      </w:r>
      <w:r>
        <w:t xml:space="preserve"> </w:t>
      </w:r>
      <w:hyperlink r:id="rId61">
        <w:r>
          <w:rPr>
            <w:rStyle w:val="Hyperlink"/>
          </w:rPr>
          <w:t xml:space="preserve">6. hafta</w:t>
        </w:r>
      </w:hyperlink>
      <w:r>
        <w:t xml:space="preserve">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74"/>
    <w:bookmarkEnd w:id="75"/>
    <w:bookmarkStart w:id="83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p>
      <w:pPr>
        <w:pStyle w:val="BodyText"/>
      </w:pPr>
      <w:r>
        <w:drawing>
          <wp:inline>
            <wp:extent cx="5759999" cy="2253784"/>
            <wp:effectExtent b="0" l="0" r="0" t="0"/>
            <wp:docPr descr="Denetim kaydı: ne yazılır, ne yazılmaz, nasıl korunur" title="" id="77" name="Picture"/>
            <a:graphic>
              <a:graphicData uri="http://schemas.openxmlformats.org/drawingml/2006/picture">
                <pic:pic>
                  <pic:nvPicPr>
                    <pic:cNvPr descr="h02-13-denetim-kayd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3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dizeleriyle bilgi sızdırır hem de yeniden açılabilir.</w:t>
      </w:r>
    </w:p>
    <w:bookmarkEnd w:id="79"/>
    <w:bookmarkStart w:id="80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Sabit biçim dizesi (format string):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dizesi açığıdır</w:t>
      </w:r>
      <w:r>
        <w:t xml:space="preserve"> </w:t>
      </w:r>
      <w:r>
        <w:t xml:space="preserve">(CWE-134;</w:t>
      </w:r>
      <w:r>
        <w:t xml:space="preserve"> </w:t>
      </w:r>
      <w:hyperlink r:id="rId68">
        <w:r>
          <w:rPr>
            <w:rStyle w:val="Hyperlink"/>
          </w:rPr>
          <w:t xml:space="preserve">4. haftada</w:t>
        </w:r>
      </w:hyperlink>
      <w:r>
        <w:t xml:space="preserve"> </w:t>
      </w:r>
      <w:r>
        <w:t xml:space="preserve">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80"/>
    <w:bookmarkStart w:id="81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81"/>
    <w:bookmarkStart w:id="82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</w:t>
      </w:r>
      <w:r>
        <w:t xml:space="preserve"> </w:t>
      </w:r>
      <w:hyperlink r:id="rId61">
        <w:r>
          <w:rPr>
            <w:rStyle w:val="Hyperlink"/>
          </w:rPr>
          <w:t xml:space="preserve">6. haftada</w:t>
        </w:r>
      </w:hyperlink>
      <w:r>
        <w:t xml:space="preserve"> </w:t>
      </w:r>
      <w:r>
        <w:t xml:space="preserve">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0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BodyText"/>
      </w:pPr>
      <w:r>
        <w:drawing>
          <wp:inline>
            <wp:extent cx="5759999" cy="2245732"/>
            <wp:effectExtent b="0" l="0" r="0" t="0"/>
            <wp:docPr descr="İsteğe bağlı ve zorunlu erişim denetimi" title="" id="85" name="Picture"/>
            <a:graphic>
              <a:graphicData uri="http://schemas.openxmlformats.org/drawingml/2006/picture">
                <pic:pic>
                  <pic:nvPicPr>
                    <pic:cNvPr descr="h02-14-dac-mac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4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87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87"/>
    <w:bookmarkStart w:id="88" w:name="dac-mac-rbac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88"/>
    <w:bookmarkStart w:id="89" w:name="Xae42aed72673f13bbf7fb9a4a553e1e2ff0c64c"/>
    <w:p>
      <w:pPr>
        <w:pStyle w:val="Heading3"/>
      </w:pPr>
      <w:r>
        <w:t xml:space="preserve">Demo 03 — Erişim matrisi ve model simülatörü (bölüm 11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8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91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91"/>
    <w:bookmarkStart w:id="95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873904"/>
            <wp:effectExtent b="0" l="0" r="0" t="0"/>
            <wp:docPr descr="Bell-LaPadula ve Biba modellerinin ters okuma/yazma kuralları" title="" id="93" name="Picture"/>
            <a:graphic>
              <a:graphicData uri="http://schemas.openxmlformats.org/drawingml/2006/picture">
                <pic:pic>
                  <pic:nvPicPr>
                    <pic:cNvPr descr="h02-05-blp-bib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7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95"/>
    <w:bookmarkStart w:id="96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96"/>
    <w:bookmarkStart w:id="97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21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2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8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102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BodyText"/>
      </w:pPr>
      <w:r>
        <w:drawing>
          <wp:inline>
            <wp:extent cx="5759999" cy="2315359"/>
            <wp:effectExtent b="0" l="0" r="0" t="0"/>
            <wp:docPr descr="Unix izin bitlerinin sahip, grup ve diğerleri olarak okunuşu" title="" id="100" name="Picture"/>
            <a:graphic>
              <a:graphicData uri="http://schemas.openxmlformats.org/drawingml/2006/picture">
                <pic:pic>
                  <pic:nvPicPr>
                    <pic:cNvPr descr="h02-08-unix-izinleri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102"/>
    <w:bookmarkStart w:id="103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103"/>
    <w:bookmarkStart w:id="104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104"/>
    <w:bookmarkStart w:id="105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24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24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24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105"/>
    <w:bookmarkStart w:id="106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</w:t>
      </w:r>
      <w:r>
        <w:t xml:space="preserve"> </w:t>
      </w:r>
      <w:hyperlink r:id="rId20">
        <w:r>
          <w:rPr>
            <w:rStyle w:val="Hyperlink"/>
          </w:rPr>
          <w:t xml:space="preserve">1. hafta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106"/>
    <w:bookmarkStart w:id="107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Hafta 1</w:t>
              </w:r>
            </w:hyperlink>
            <w:r>
              <w:t xml:space="preserve"> </w:t>
            </w:r>
            <w:r>
              <w:t xml:space="preserve">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Hafta 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Hafta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Hafta 3</w:t>
              </w:r>
            </w:hyperlink>
            <w:r>
              <w:t xml:space="preserve">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Hafta 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110"/>
    <w:bookmarkStart w:id="115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BodyText"/>
      </w:pPr>
      <w:r>
        <w:drawing>
          <wp:inline>
            <wp:extent cx="5759999" cy="2521752"/>
            <wp:effectExtent b="0" l="0" r="0" t="0"/>
            <wp:docPr descr="OWASP listeleri ve MASVS’in yeri" title="" id="112" name="Picture"/>
            <a:graphic>
              <a:graphicData uri="http://schemas.openxmlformats.org/drawingml/2006/picture">
                <pic:pic>
                  <pic:nvPicPr>
                    <pic:cNvPr descr="h02-16-owasp-masv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2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</w:t>
      </w:r>
      <w:r>
        <w:t xml:space="preserve"> </w:t>
      </w:r>
      <w:hyperlink r:id="rId114">
        <w:r>
          <w:rPr>
            <w:rStyle w:val="Hyperlink"/>
          </w:rPr>
          <w:t xml:space="preserve">14. hafta</w:t>
        </w:r>
      </w:hyperlink>
      <w:r>
        <w:t xml:space="preserve">), RASP (</w:t>
      </w:r>
      <w:hyperlink r:id="rId61">
        <w:r>
          <w:rPr>
            <w:rStyle w:val="Hyperlink"/>
          </w:rPr>
          <w:t xml:space="preserve">6. hafta</w:t>
        </w:r>
      </w:hyperlink>
      <w:r>
        <w:t xml:space="preserve">) ve whitebox (</w:t>
      </w:r>
      <w:hyperlink r:id="rId31">
        <w:r>
          <w:rPr>
            <w:rStyle w:val="Hyperlink"/>
          </w:rPr>
          <w:t xml:space="preserve">11. hafta</w:t>
        </w:r>
      </w:hyperlink>
      <w:r>
        <w:t xml:space="preserve">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27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27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27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8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115"/>
    <w:bookmarkStart w:id="120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FirstParagraph"/>
      </w:pPr>
      <w:r>
        <w:drawing>
          <wp:inline>
            <wp:extent cx="5759999" cy="1765643"/>
            <wp:effectExtent b="0" l="0" r="0" t="0"/>
            <wp:docPr descr="CWE, CVE ve CVSS: üç ayrı soru" title="" id="117" name="Picture"/>
            <a:graphic>
              <a:graphicData uri="http://schemas.openxmlformats.org/drawingml/2006/picture">
                <pic:pic>
                  <pic:nvPicPr>
                    <pic:cNvPr descr="h02-15-cwe-cve-cvs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65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119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7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879999"/>
            <wp:effectExtent b="0" l="0" r="0" t="0"/>
            <wp:docPr descr="Bir açığın yaşam çizgisinde kim ne yapar" title="" id="122" name="Picture"/>
            <a:graphic>
              <a:graphicData uri="http://schemas.openxmlformats.org/drawingml/2006/picture">
                <pic:pic>
                  <pic:nvPicPr>
                    <pic:cNvPr descr="h02-17-acik-yasam-cizgi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953938"/>
            <wp:effectExtent b="0" l="0" r="0" t="0"/>
            <wp:docPr descr="Zafiyet yaşam döngüsü: keşiften yama uygulanmasına" title="" id="125" name="Picture"/>
            <a:graphic>
              <a:graphicData uri="http://schemas.openxmlformats.org/drawingml/2006/picture">
                <pic:pic>
                  <pic:nvPicPr>
                    <pic:cNvPr descr="h02-06-zafiyet-yasam-dongusu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27"/>
    <w:bookmarkStart w:id="132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28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yakalar; ayrıntısı</w:t>
      </w:r>
      <w:r>
        <w:t xml:space="preserve"> </w:t>
      </w:r>
      <w:hyperlink w:anchor="Xf966e7a2a7368559dda521c1012327d80180fb3">
        <w:r>
          <w:rPr>
            <w:rStyle w:val="Hyperlink"/>
          </w:rPr>
          <w:t xml:space="preserve">§5</w:t>
        </w:r>
      </w:hyperlink>
      <w:r>
        <w:t xml:space="preserve"> </w:t>
      </w:r>
      <w:r>
        <w:t xml:space="preserve">(Demo 01).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ayrıntısı</w:t>
      </w:r>
      <w:r>
        <w:t xml:space="preserve"> </w:t>
      </w:r>
      <w:hyperlink w:anchor="X62a4bfa56b6b51f65667547615dee68e288b04b">
        <w:r>
          <w:rPr>
            <w:rStyle w:val="Hyperlink"/>
          </w:rPr>
          <w:t xml:space="preserve">§7</w:t>
        </w:r>
      </w:hyperlink>
      <w:r>
        <w:t xml:space="preserve"> </w:t>
      </w:r>
      <w:r>
        <w:t xml:space="preserve">(WannaCry örneği).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32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33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34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35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36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37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38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28"/>
    <w:bookmarkStart w:id="129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40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41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42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43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44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45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46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29"/>
    <w:bookmarkStart w:id="130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48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49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50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51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52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54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55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30"/>
    <w:bookmarkStart w:id="131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bağlamı bilmez; ayrıntısı</w:t>
      </w:r>
      <w:r>
        <w:t xml:space="preserve"> </w:t>
      </w:r>
      <w:hyperlink w:anchor="X2834a654dc098540b00f0ee5ef3821a2dbfd4ab">
        <w:r>
          <w:rPr>
            <w:rStyle w:val="Hyperlink"/>
          </w:rPr>
          <w:t xml:space="preserve">§15</w:t>
        </w:r>
      </w:hyperlink>
      <w:r>
        <w:t xml:space="preserve">.</w:t>
      </w:r>
      <w:r>
        <w:t xml:space="preserve"> </w:t>
      </w:r>
      <w:r>
        <w:t xml:space="preserve">Bu dersin saldırgan modelinde açıklar sık sık</w:t>
      </w:r>
      <w:r>
        <w:t xml:space="preserve"> </w:t>
      </w:r>
      <w:r>
        <w:rPr>
          <w:rStyle w:val="VerbatimChar"/>
        </w:rPr>
        <w:t xml:space="preserve">AV:L</w:t>
      </w:r>
      <w:r>
        <w:t xml:space="preserve">/</w:t>
      </w:r>
      <w:r>
        <w:rPr>
          <w:rStyle w:val="VerbatimChar"/>
        </w:rPr>
        <w:t xml:space="preserve">PR:H</w:t>
      </w:r>
      <w:r>
        <w:t xml:space="preserve"> </w:t>
      </w:r>
      <w:r>
        <w:t xml:space="preserve">alıp puanı düşürür — ama cihaz zaten saldırganın</w:t>
      </w:r>
      <w:r>
        <w:t xml:space="preserve"> </w:t>
      </w:r>
      <w:r>
        <w:t xml:space="preserve">elindeyse (</w:t>
      </w:r>
      <w:r>
        <w:t xml:space="preserve">“Cihazdaki açık düşük puanlı, önemsiz”</w:t>
      </w:r>
      <w:r>
        <w:t xml:space="preserve"> </w:t>
      </w:r>
      <w:r>
        <w:t xml:space="preserve">yanılgısı) risk azalmaz; puanın yanına saldırı potansiyeli</w:t>
      </w:r>
      <w:r>
        <w:t xml:space="preserve"> </w:t>
      </w:r>
      <w:r>
        <w:t xml:space="preserve">ve varlık değeri yazılmalıdır.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57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58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59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60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61"/>
        </w:numPr>
      </w:pPr>
      <w:r>
        <w:t xml:space="preserve">CVSS, EPSS, KEV ve SSVC’yi birlikte kullanarak bir yama sırası önerebiliyorum (Demo 05).</w:t>
      </w:r>
    </w:p>
    <w:p>
      <w:pPr>
        <w:pStyle w:val="Compact"/>
        <w:numPr>
          <w:ilvl w:val="0"/>
          <w:numId w:val="1062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0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65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66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6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68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69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33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33"/>
    <w:bookmarkStart w:id="134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34"/>
    <w:bookmarkStart w:id="138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3298629"/>
            <wp:effectExtent b="0" l="0" r="0" t="0"/>
            <wp:docPr descr="Başkasının hesabından ödeme saldırı ağacı ve maliyetleri" title="" id="136" name="Picture"/>
            <a:graphic>
              <a:graphicData uri="http://schemas.openxmlformats.org/drawingml/2006/picture">
                <pic:pic>
                  <pic:nvPicPr>
                    <pic:cNvPr descr="h02-07-saldiri-agaci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98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38"/>
    <w:bookmarkStart w:id="139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1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71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71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2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72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72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3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73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73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73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4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74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74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74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05).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5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75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75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75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6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76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76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41"/>
    <w:bookmarkStart w:id="142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</w:t>
      </w:r>
      <w:hyperlink r:id="rId61">
        <w:r>
          <w:rPr>
            <w:rStyle w:val="Hyperlink"/>
          </w:rPr>
          <w:t xml:space="preserve">6. hafta</w:t>
        </w:r>
      </w:hyperlink>
      <w:r>
        <w:t xml:space="preserve">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42"/>
    <w:bookmarkStart w:id="143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43"/>
    <w:bookmarkStart w:id="144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78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</w:t>
      </w:r>
      <w:r>
        <w:t xml:space="preserve"> </w:t>
      </w:r>
      <w:hyperlink r:id="rId114">
        <w:r>
          <w:rPr>
            <w:rStyle w:val="Hyperlink"/>
          </w:rPr>
          <w:t xml:space="preserve">14. hafta</w:t>
        </w:r>
      </w:hyperlink>
      <w:r>
        <w:t xml:space="preserve">), RASP (</w:t>
      </w:r>
      <w:hyperlink r:id="rId61">
        <w:r>
          <w:rPr>
            <w:rStyle w:val="Hyperlink"/>
          </w:rPr>
          <w:t xml:space="preserve">6. hafta</w:t>
        </w:r>
      </w:hyperlink>
      <w:r>
        <w:t xml:space="preserve">) ve</w:t>
      </w:r>
      <w:r>
        <w:t xml:space="preserve"> </w:t>
      </w:r>
      <w:r>
        <w:t xml:space="preserve">whitebox kriptografi (</w:t>
      </w:r>
      <w:hyperlink r:id="rId31">
        <w:r>
          <w:rPr>
            <w:rStyle w:val="Hyperlink"/>
          </w:rPr>
          <w:t xml:space="preserve">11. hafta</w:t>
        </w:r>
      </w:hyperlink>
      <w:r>
        <w:t xml:space="preserve">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Demo 02’deki gibi).</w:t>
      </w:r>
    </w:p>
    <w:p>
      <w:r>
        <w:pict>
          <v:rect style="width:0;height:1.5pt" o:hralign="center" o:hrstd="t" o:hr="t"/>
        </w:pict>
      </w:r>
    </w:p>
    <w:bookmarkEnd w:id="144"/>
    <w:bookmarkStart w:id="146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</w:t>
      </w:r>
      <w:hyperlink r:id="rId145">
        <w:r>
          <w:rPr>
            <w:rStyle w:val="Hyperlink"/>
          </w:rPr>
          <w:t xml:space="preserve">8. hafta</w:t>
        </w:r>
      </w:hyperlink>
      <w:r>
        <w:t xml:space="preserve">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79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79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79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46"/>
    <w:bookmarkStart w:id="149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0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80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80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80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81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81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81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81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81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81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81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3. hafta — Veri güvenliği.</w:t>
      </w:r>
      <w:r>
        <w:t xml:space="preserve"> </w:t>
      </w:r>
      <w:r>
        <w:t xml:space="preserve">Bu hafta zararlı yazılım tespitinde kullandığımız</w:t>
      </w:r>
      <w:r>
        <w:t xml:space="preserve"> </w:t>
      </w:r>
      <w:r>
        <w:rPr>
          <w:b/>
          <w:bCs/>
        </w:rPr>
        <w:t xml:space="preserve">entropi</w:t>
      </w:r>
      <w:r>
        <w:t xml:space="preserve"> </w:t>
      </w:r>
      <w:r>
        <w:t xml:space="preserve">ölçütünü</w:t>
      </w:r>
      <w:r>
        <w:t xml:space="preserve"> </w:t>
      </w:r>
      <w:r>
        <w:t xml:space="preserve">(</w:t>
      </w:r>
      <w:hyperlink w:anchor="X4723d3d9eefa717246993f55d42efcec28ae2e7">
        <w:r>
          <w:rPr>
            <w:rStyle w:val="Hyperlink"/>
          </w:rPr>
          <w:t xml:space="preserve">§6</w:t>
        </w:r>
      </w:hyperlink>
      <w:r>
        <w:t xml:space="preserve">), gelecek hafta kriptografik rastgele</w:t>
      </w:r>
      <w:r>
        <w:t xml:space="preserve"> </w:t>
      </w:r>
      <w:r>
        <w:t xml:space="preserve">sayı üretecinin (CSPRNG) girdisindeki düzensizliği değerlendirmek için yeniden kullanacağız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Hafta 3, §3</w:t>
        </w:r>
      </w:hyperlink>
      <w:r>
        <w:t xml:space="preserve">). Bu hafta</w:t>
      </w:r>
      <w:r>
        <w:t xml:space="preserve"> </w:t>
      </w:r>
      <w:r>
        <w:t xml:space="preserve">CWE ve CVSS ile önceliklendirdiğimiz zafiyet dili,</w:t>
      </w:r>
      <w:r>
        <w:t xml:space="preserve"> </w:t>
      </w:r>
      <w:hyperlink r:id="rId148">
        <w:r>
          <w:rPr>
            <w:rStyle w:val="Hyperlink"/>
          </w:rPr>
          <w:t xml:space="preserve">12. haftada</w:t>
        </w:r>
      </w:hyperlink>
      <w:r>
        <w:t xml:space="preserve"> </w:t>
      </w:r>
      <w:r>
        <w:t xml:space="preserve">sızma testi planlamasının girdisi olarak</w:t>
      </w:r>
      <w:r>
        <w:t xml:space="preserve"> </w:t>
      </w:r>
      <w:r>
        <w:t xml:space="preserve">yeniden karşımıza çıkacak.</w:t>
      </w:r>
    </w:p>
    <w:bookmarkEnd w:id="149"/>
    <w:bookmarkEnd w:id="15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135" Target="media/rId135.png" /><Relationship Type="http://schemas.openxmlformats.org/officeDocument/2006/relationships/image" Id="rId99" Target="media/rId99.png" /><Relationship Type="http://schemas.openxmlformats.org/officeDocument/2006/relationships/image" Id="rId33" Target="media/rId33.png" /><Relationship Type="http://schemas.openxmlformats.org/officeDocument/2006/relationships/image" Id="rId55" Target="media/rId55.png" /><Relationship Type="http://schemas.openxmlformats.org/officeDocument/2006/relationships/image" Id="rId64" Target="media/rId64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4" Target="media/rId84.png" /><Relationship Type="http://schemas.openxmlformats.org/officeDocument/2006/relationships/image" Id="rId116" Target="media/rId116.png" /><Relationship Type="http://schemas.openxmlformats.org/officeDocument/2006/relationships/image" Id="rId111" Target="media/rId111.png" /><Relationship Type="http://schemas.openxmlformats.org/officeDocument/2006/relationships/image" Id="rId121" Target="media/rId121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2" Target="../week-1/cen429-week-1.md#1-guvenlik-nedir" TargetMode="External" /><Relationship Type="http://schemas.openxmlformats.org/officeDocument/2006/relationships/hyperlink" Id="rId23" Target="../week-1/cen429-week-1.md#3-saldirgan-kim-neye-erisebiliyor" TargetMode="External" /><Relationship Type="http://schemas.openxmlformats.org/officeDocument/2006/relationships/hyperlink" Id="rId24" Target="../week-1/cen429-week-1.md#7-tehdit-modelleme-stride-ve-saldiri-agaclari" TargetMode="External" /><Relationship Type="http://schemas.openxmlformats.org/officeDocument/2006/relationships/hyperlink" Id="rId69" Target="../week-10/cen429-week-10.md" TargetMode="External" /><Relationship Type="http://schemas.openxmlformats.org/officeDocument/2006/relationships/hyperlink" Id="rId31" Target="../week-11/cen429-week-11.md" TargetMode="External" /><Relationship Type="http://schemas.openxmlformats.org/officeDocument/2006/relationships/hyperlink" Id="rId148" Target="../week-12/cen429-week-12.md" TargetMode="External" /><Relationship Type="http://schemas.openxmlformats.org/officeDocument/2006/relationships/hyperlink" Id="rId114" Target="../week-14/cen429-week-14.md" TargetMode="External" /><Relationship Type="http://schemas.openxmlformats.org/officeDocument/2006/relationships/hyperlink" Id="rId109" Target="../week-3/cen429-week-3.md" TargetMode="External" /><Relationship Type="http://schemas.openxmlformats.org/officeDocument/2006/relationships/hyperlink" Id="rId147" Target="../week-3/cen429-week-3.md#3-rastgele-sayilar-kriptografinin-gorunmez-temeli" TargetMode="External" /><Relationship Type="http://schemas.openxmlformats.org/officeDocument/2006/relationships/hyperlink" Id="rId68" Target="../week-4/cen429-week-4.md" TargetMode="External" /><Relationship Type="http://schemas.openxmlformats.org/officeDocument/2006/relationships/hyperlink" Id="rId67" Target="../week-5/cen429-week-5.md" TargetMode="External" /><Relationship Type="http://schemas.openxmlformats.org/officeDocument/2006/relationships/hyperlink" Id="rId61" Target="../week-6/cen429-week-6.md" TargetMode="External" /><Relationship Type="http://schemas.openxmlformats.org/officeDocument/2006/relationships/hyperlink" Id="rId145" Target="../week-8/cen429-week-8.md" TargetMode="External" /><Relationship Type="http://schemas.openxmlformats.org/officeDocument/2006/relationships/hyperlink" Id="rId58" Target="../week-9/cen429-week-9.md" TargetMode="External" /><Relationship Type="http://schemas.openxmlformats.org/officeDocument/2006/relationships/hyperlink" Id="rId21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2" Target="../week-1/cen429-week-1.md#1-guvenlik-nedir" TargetMode="External" /><Relationship Type="http://schemas.openxmlformats.org/officeDocument/2006/relationships/hyperlink" Id="rId23" Target="../week-1/cen429-week-1.md#3-saldirgan-kim-neye-erisebiliyor" TargetMode="External" /><Relationship Type="http://schemas.openxmlformats.org/officeDocument/2006/relationships/hyperlink" Id="rId24" Target="../week-1/cen429-week-1.md#7-tehdit-modelleme-stride-ve-saldiri-agaclari" TargetMode="External" /><Relationship Type="http://schemas.openxmlformats.org/officeDocument/2006/relationships/hyperlink" Id="rId69" Target="../week-10/cen429-week-10.md" TargetMode="External" /><Relationship Type="http://schemas.openxmlformats.org/officeDocument/2006/relationships/hyperlink" Id="rId31" Target="../week-11/cen429-week-11.md" TargetMode="External" /><Relationship Type="http://schemas.openxmlformats.org/officeDocument/2006/relationships/hyperlink" Id="rId148" Target="../week-12/cen429-week-12.md" TargetMode="External" /><Relationship Type="http://schemas.openxmlformats.org/officeDocument/2006/relationships/hyperlink" Id="rId114" Target="../week-14/cen429-week-14.md" TargetMode="External" /><Relationship Type="http://schemas.openxmlformats.org/officeDocument/2006/relationships/hyperlink" Id="rId109" Target="../week-3/cen429-week-3.md" TargetMode="External" /><Relationship Type="http://schemas.openxmlformats.org/officeDocument/2006/relationships/hyperlink" Id="rId147" Target="../week-3/cen429-week-3.md#3-rastgele-sayilar-kriptografinin-gorunmez-temeli" TargetMode="External" /><Relationship Type="http://schemas.openxmlformats.org/officeDocument/2006/relationships/hyperlink" Id="rId68" Target="../week-4/cen429-week-4.md" TargetMode="External" /><Relationship Type="http://schemas.openxmlformats.org/officeDocument/2006/relationships/hyperlink" Id="rId67" Target="../week-5/cen429-week-5.md" TargetMode="External" /><Relationship Type="http://schemas.openxmlformats.org/officeDocument/2006/relationships/hyperlink" Id="rId61" Target="../week-6/cen429-week-6.md" TargetMode="External" /><Relationship Type="http://schemas.openxmlformats.org/officeDocument/2006/relationships/hyperlink" Id="rId145" Target="../week-8/cen429-week-8.md" TargetMode="External" /><Relationship Type="http://schemas.openxmlformats.org/officeDocument/2006/relationships/hyperlink" Id="rId58" Target="../week-9/cen429-week-9.md" TargetMode="External" /><Relationship Type="http://schemas.openxmlformats.org/officeDocument/2006/relationships/hyperlink" Id="rId21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2026-09-26T00:51:21Z</dcterms:created>
  <dcterms:modified xsi:type="dcterms:W3CDTF">2026-09-26T00:51:21Z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