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Hafta-13</w:t>
      </w:r>
    </w:p>
    <w:p>
      <w:pPr>
        <w:pStyle w:val="Subtitle"/>
      </w:pPr>
      <w:r>
        <w:t xml:space="preserve">Tigress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Ã‡eÅŸitlilik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9" w:name="cen429-gã¼venli-programlama"/>
    <w:p>
      <w:pPr>
        <w:pStyle w:val="Heading1"/>
      </w:pPr>
      <w:r>
        <w:t xml:space="preserve">CEN429 GÃ¼venli Programlama</w:t>
      </w:r>
    </w:p>
    <w:bookmarkStart w:id="28" w:name="hafta-13"/>
    <w:p>
      <w:pPr>
        <w:pStyle w:val="Heading2"/>
      </w:pPr>
      <w:r>
        <w:t xml:space="preserve">Hafta-13</w:t>
      </w:r>
    </w:p>
    <w:bookmarkStart w:id="24" w:name="tigress-ve-ãeåÿitlilik-teknikleri"/>
    <w:p>
      <w:pPr>
        <w:pStyle w:val="Heading4"/>
      </w:pPr>
      <w:r>
        <w:t xml:space="preserve">Tigress ve Ã‡eÅŸitlilik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Tigress ve Ã‡eÅŸitlilik Teknikleri</w:t>
      </w:r>
    </w:p>
    <w:p>
      <w:pPr>
        <w:numPr>
          <w:ilvl w:val="0"/>
          <w:numId w:val="1002"/>
        </w:numPr>
        <w:pStyle w:val="Compact"/>
      </w:pPr>
      <w:r>
        <w:t xml:space="preserve">Obfuscation YÃ¶ntemleri</w:t>
      </w:r>
    </w:p>
    <w:p>
      <w:pPr>
        <w:numPr>
          <w:ilvl w:val="0"/>
          <w:numId w:val="1002"/>
        </w:numPr>
        <w:pStyle w:val="Compact"/>
      </w:pPr>
      <w:r>
        <w:t xml:space="preserve">SaldÄ±rÄ±lara KarÅŸÄ± Savunma</w:t>
      </w:r>
    </w:p>
    <w:bookmarkEnd w:id="25"/>
    <w:bookmarkStart w:id="27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5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6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7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numPr>
          <w:ilvl w:val="0"/>
          <w:numId w:val="1009"/>
        </w:numPr>
      </w:pPr>
      <w:r>
        <w:t xml:space="preserve">Kodda Ã‡eÅŸitlilik SaÄŸlama</w:t>
      </w:r>
      <w:r>
        <w:t xml:space="preserve"> </w:t>
      </w:r>
      <w:r>
        <w:t xml:space="preserve">Teorik AÃ§Ä±klama: 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09"/>
        </w:numPr>
      </w:pPr>
      <w:r>
        <w:t xml:space="preserve">SaldÄ±rÄ±lar ve KarÅŸÄ± SaldÄ±rÄ±lar</w:t>
      </w:r>
      <w:r>
        <w:t xml:space="preserve"> </w:t>
      </w:r>
      <w:r>
        <w:t xml:space="preserve">Teorik AÃ§Ä±klama: 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09"/>
        </w:numPr>
      </w:pPr>
      <w:r>
        <w:t xml:space="preserve">Algoritmik YÃ¶ntemler ve Ã‡eÅŸitlilik SaÄŸlama</w:t>
      </w:r>
      <w:r>
        <w:t xml:space="preserve"> </w:t>
      </w:r>
      <w:r>
        <w:t xml:space="preserve">Teorik AÃ§Ä±klama: 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pStyle w:val="FirstParagraph"/>
      </w:pPr>
      <w:r>
        <w:t xml:space="preserve">SonuÃ§</w:t>
      </w:r>
      <w:r>
        <w:t xml:space="preserve"> </w:t>
      </w: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13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3.tr_slide.pdf" TargetMode="External" /><Relationship Type="http://schemas.openxmlformats.org/officeDocument/2006/relationships/hyperlink" Id="rId23" Target="cen429-week-13.tr_slide.pptx" TargetMode="External" /><Relationship Type="http://schemas.openxmlformats.org/officeDocument/2006/relationships/hyperlink" Id="rId20" Target="pandoc_cen429-week-13.tr_doc.pdf" TargetMode="External" /><Relationship Type="http://schemas.openxmlformats.org/officeDocument/2006/relationships/hyperlink" Id="rId21" Target="pandoc_cen429-week-13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3.tr_slide.pdf" TargetMode="External" /><Relationship Type="http://schemas.openxmlformats.org/officeDocument/2006/relationships/hyperlink" Id="rId23" Target="cen429-week-13.tr_slide.pptx" TargetMode="External" /><Relationship Type="http://schemas.openxmlformats.org/officeDocument/2006/relationships/hyperlink" Id="rId20" Target="pandoc_cen429-week-13.tr_doc.pdf" TargetMode="External" /><Relationship Type="http://schemas.openxmlformats.org/officeDocument/2006/relationships/hyperlink" Id="rId21" Target="pandoc_cen429-week-13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Hafta-13</dc:title>
  <dc:creator>Yazar: Dr. Ã–ÄŸr. Ãœyesi UÄŸur CORUH</dc:creator>
  <dc:language>tr-TR</dc:language>
  <cp:keywords/>
  <dcterms:created xsi:type="dcterms:W3CDTF">2024-09-26T02:33:53Z</dcterms:created>
  <dcterms:modified xsi:type="dcterms:W3CDTF">2024-09-26T02:33:53Z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Tigress ve Ã‡eÅŸitlilik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