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B18E8" w14:textId="1B045921" w:rsidR="000848F7" w:rsidRPr="00495E8C" w:rsidRDefault="000848F7" w:rsidP="000848F7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495E8C">
        <w:rPr>
          <w:rFonts w:cs="Times New Roman"/>
          <w:b/>
          <w:bCs/>
          <w:szCs w:val="24"/>
        </w:rPr>
        <w:t xml:space="preserve">anticoagulation_and_stroke </w:t>
      </w:r>
    </w:p>
    <w:p w14:paraId="69E14D68" w14:textId="2B1B31D6" w:rsidR="000848F7" w:rsidRPr="000848F7" w:rsidRDefault="000848F7" w:rsidP="000848F7">
      <w:pPr>
        <w:pStyle w:val="ListParagraph"/>
        <w:numPr>
          <w:ilvl w:val="1"/>
          <w:numId w:val="4"/>
        </w:numPr>
        <w:ind w:left="720"/>
        <w:rPr>
          <w:rFonts w:cs="Times New Roman"/>
          <w:szCs w:val="24"/>
        </w:rPr>
      </w:pPr>
      <w:hyperlink r:id="rId5" w:tooltip="https://www.sciencedirect.com/science/article/pii/S2352340923005693" w:history="1">
        <w:r w:rsidRPr="000848F7">
          <w:rPr>
            <w:rStyle w:val="Hyperlink"/>
            <w:rFonts w:cs="Times New Roman"/>
            <w:bdr w:val="none" w:sz="0" w:space="0" w:color="auto" w:frame="1"/>
          </w:rPr>
          <w:t>Dataset for</w:t>
        </w:r>
        <w:r w:rsidRPr="000848F7">
          <w:rPr>
            <w:rStyle w:val="Hyperlink"/>
            <w:rFonts w:cs="Times New Roman"/>
            <w:bdr w:val="none" w:sz="0" w:space="0" w:color="auto" w:frame="1"/>
          </w:rPr>
          <w:t xml:space="preserve"> the study of the effect of anticoagulation in the incidence of stroke and other outcomes in patients with left ventricular thrombus - ScienceDirect</w:t>
        </w:r>
      </w:hyperlink>
    </w:p>
    <w:p w14:paraId="2AAE96D2" w14:textId="7C6EE2AC" w:rsidR="000848F7" w:rsidRPr="000848F7" w:rsidRDefault="000848F7" w:rsidP="000848F7">
      <w:pPr>
        <w:pStyle w:val="ListParagraph"/>
        <w:numPr>
          <w:ilvl w:val="1"/>
          <w:numId w:val="4"/>
        </w:numPr>
        <w:ind w:left="72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 xml:space="preserve">This dataset focuses on evaluating the effect of anticoagulation duration on stroke incidence in patients with left ventricular thrombus (LVT). </w:t>
      </w:r>
    </w:p>
    <w:p w14:paraId="06DCAEDD" w14:textId="62D2D3A9" w:rsidR="000848F7" w:rsidRPr="000848F7" w:rsidRDefault="000848F7" w:rsidP="000848F7">
      <w:pPr>
        <w:pStyle w:val="ListParagraph"/>
        <w:numPr>
          <w:ilvl w:val="1"/>
          <w:numId w:val="4"/>
        </w:numPr>
        <w:ind w:left="72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 xml:space="preserve">The data was collected from transthoracic echocardiogram studies conducted at Hospital Universitario Ramón y Cajal between January 1st, 2014, and December 31st, 2021. </w:t>
      </w:r>
    </w:p>
    <w:p w14:paraId="5B2D0D14" w14:textId="771279D2" w:rsidR="000848F7" w:rsidRPr="000848F7" w:rsidRDefault="000848F7" w:rsidP="000848F7">
      <w:pPr>
        <w:pStyle w:val="ListParagraph"/>
        <w:numPr>
          <w:ilvl w:val="1"/>
          <w:numId w:val="4"/>
        </w:numPr>
        <w:ind w:left="72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The dataset includes both demographic and clinical information, such as treatment choices (Vitamin K antagonists [VKA] or direct oral anticoagulants [DOAC]), duration of treatment, and various health outcomes like stroke, acute myocardial infarction (AMI), bleeding, thrombus resolution, recurrence, and mortality.</w:t>
      </w:r>
    </w:p>
    <w:p w14:paraId="6A5BAC54" w14:textId="1A8E5EAD" w:rsidR="000848F7" w:rsidRPr="000848F7" w:rsidRDefault="000848F7" w:rsidP="000848F7">
      <w:pPr>
        <w:pStyle w:val="ListParagraph"/>
        <w:numPr>
          <w:ilvl w:val="1"/>
          <w:numId w:val="4"/>
        </w:numPr>
        <w:ind w:left="72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The dataset includes 98 patients after filtering from 267 initial cases. Key variables include age, sex, cardiovascular risk factors, and treatment details. Data is organized into four main categories:</w:t>
      </w:r>
    </w:p>
    <w:p w14:paraId="59EEFA37" w14:textId="4196CBA5" w:rsidR="000848F7" w:rsidRPr="000848F7" w:rsidRDefault="000848F7" w:rsidP="000848F7">
      <w:pPr>
        <w:pStyle w:val="ListParagraph"/>
        <w:numPr>
          <w:ilvl w:val="2"/>
          <w:numId w:val="4"/>
        </w:numPr>
        <w:ind w:left="144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Demographic and Clinical Information (e.g., age, weight, medical history).</w:t>
      </w:r>
    </w:p>
    <w:p w14:paraId="4001F8CE" w14:textId="323C8649" w:rsidR="000848F7" w:rsidRPr="000848F7" w:rsidRDefault="000848F7" w:rsidP="000848F7">
      <w:pPr>
        <w:pStyle w:val="ListParagraph"/>
        <w:numPr>
          <w:ilvl w:val="2"/>
          <w:numId w:val="4"/>
        </w:numPr>
        <w:ind w:left="144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Diagnosis and Etiology (e.g., AMI, stroke, cardiomyopathy type).</w:t>
      </w:r>
    </w:p>
    <w:p w14:paraId="26B2D519" w14:textId="698B8191" w:rsidR="000848F7" w:rsidRPr="000848F7" w:rsidRDefault="000848F7" w:rsidP="000848F7">
      <w:pPr>
        <w:pStyle w:val="ListParagraph"/>
        <w:numPr>
          <w:ilvl w:val="2"/>
          <w:numId w:val="4"/>
        </w:numPr>
        <w:ind w:left="144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Outcomes (e.g., stroke, bleeding, thrombus resolution).</w:t>
      </w:r>
    </w:p>
    <w:p w14:paraId="38978541" w14:textId="6545F979" w:rsidR="000848F7" w:rsidRDefault="000848F7" w:rsidP="000848F7">
      <w:pPr>
        <w:pStyle w:val="ListParagraph"/>
        <w:numPr>
          <w:ilvl w:val="2"/>
          <w:numId w:val="4"/>
        </w:numPr>
        <w:ind w:left="1440"/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Subgroup Analysis (e.g., age groups, ischemic risk, and treatment types).</w:t>
      </w:r>
    </w:p>
    <w:p w14:paraId="0F921B4D" w14:textId="77777777" w:rsidR="007653CC" w:rsidRDefault="007653CC" w:rsidP="007653CC">
      <w:pPr>
        <w:pStyle w:val="ListParagraph"/>
        <w:ind w:left="360"/>
        <w:rPr>
          <w:rFonts w:cs="Times New Roman"/>
          <w:szCs w:val="24"/>
        </w:rPr>
      </w:pPr>
    </w:p>
    <w:p w14:paraId="46EB7D1B" w14:textId="77777777" w:rsidR="007653CC" w:rsidRDefault="007653CC" w:rsidP="007653CC">
      <w:pPr>
        <w:pStyle w:val="ListParagraph"/>
        <w:ind w:left="360"/>
        <w:rPr>
          <w:rFonts w:cs="Times New Roman"/>
          <w:szCs w:val="24"/>
        </w:rPr>
      </w:pPr>
    </w:p>
    <w:p w14:paraId="27DFF2F2" w14:textId="732E010E" w:rsidR="000848F7" w:rsidRPr="008323B0" w:rsidRDefault="000848F7" w:rsidP="007653CC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8323B0">
        <w:rPr>
          <w:rFonts w:cs="Times New Roman"/>
          <w:b/>
          <w:bCs/>
          <w:szCs w:val="24"/>
        </w:rPr>
        <w:t>changes_in_pft</w:t>
      </w:r>
    </w:p>
    <w:p w14:paraId="5577E9B5" w14:textId="58B8570A" w:rsidR="000848F7" w:rsidRPr="00B1375F" w:rsidRDefault="00B1375F" w:rsidP="00B1375F">
      <w:pPr>
        <w:pStyle w:val="ListParagraph"/>
        <w:numPr>
          <w:ilvl w:val="0"/>
          <w:numId w:val="8"/>
        </w:numPr>
        <w:rPr>
          <w:rFonts w:cs="Times New Roman"/>
          <w:szCs w:val="24"/>
          <w:lang w:val="en-GB"/>
        </w:rPr>
      </w:pPr>
      <w:hyperlink r:id="rId6" w:tooltip="https://www.sciencedirect.com/science/article/pii/S2352340924009600" w:history="1">
        <w:r w:rsidRPr="00B1375F">
          <w:rPr>
            <w:rStyle w:val="Hyperlink"/>
            <w:rFonts w:cs="Times New Roman"/>
            <w:szCs w:val="24"/>
            <w:lang w:val="en-GB"/>
          </w:rPr>
          <w:t>Changes in spirometry and pulmonary diffusing capacity in Mexican Hispanics approximately one year after having severe COVID-19: A dataset - ScienceDirect</w:t>
        </w:r>
      </w:hyperlink>
    </w:p>
    <w:p w14:paraId="744D9CA4" w14:textId="1CCC6668" w:rsidR="000848F7" w:rsidRPr="000848F7" w:rsidRDefault="000848F7" w:rsidP="007653CC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 xml:space="preserve">This dataset examines long-term pulmonary outcomes in patients recovering from severe COVID-19. It was collected from the Long-term follow-up COVID-19 Clinic in Mérida, Mexico, between March and August 2021. </w:t>
      </w:r>
    </w:p>
    <w:p w14:paraId="607F4240" w14:textId="32EFF705" w:rsidR="000848F7" w:rsidRPr="000848F7" w:rsidRDefault="000848F7" w:rsidP="007653CC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The dataset includes information on pulmonary function tests (spirometry, diffusing capacity, alveolar volume), morbidity history, and fibrosis scores from CT scans.</w:t>
      </w:r>
    </w:p>
    <w:p w14:paraId="0D1D8910" w14:textId="78014EAB" w:rsidR="000848F7" w:rsidRPr="000848F7" w:rsidRDefault="000848F7" w:rsidP="007653CC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The dataset includes 82 patients who completed both baseline and follow-up pulmonary tests. Key variables include age, sex, comorbidities, and treatment details. The data is organized into four main categories:</w:t>
      </w:r>
    </w:p>
    <w:p w14:paraId="411FEF4C" w14:textId="3AE4533C" w:rsidR="000848F7" w:rsidRPr="000848F7" w:rsidRDefault="000848F7" w:rsidP="007653CC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Demographic and Clinical Information (e.g. age, sex, BMI, pre-existing risk factors, and other clinical characteristics).</w:t>
      </w:r>
    </w:p>
    <w:p w14:paraId="012C1134" w14:textId="5E391D94" w:rsidR="000848F7" w:rsidRPr="000848F7" w:rsidRDefault="000848F7" w:rsidP="007653CC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Pulmonary Function (e.g. includes z-scores for spirometry (FEV1, FVC, FEV1/FVC ratio), diffusing capacity (DLCO), alveolar volume (VA), and the carbon monoxide transfer coefficient (KCO)).</w:t>
      </w:r>
    </w:p>
    <w:p w14:paraId="129C9C29" w14:textId="6459E529" w:rsidR="000848F7" w:rsidRPr="000848F7" w:rsidRDefault="000848F7" w:rsidP="007653CC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Symptoms (e.g. includes symptom persistence, such as fatigue, shortness of breath, chest pain, and other COVID-19-related</w:t>
      </w:r>
      <w:r>
        <w:rPr>
          <w:rFonts w:cs="Times New Roman"/>
          <w:szCs w:val="24"/>
        </w:rPr>
        <w:t xml:space="preserve"> </w:t>
      </w:r>
      <w:r w:rsidRPr="000848F7">
        <w:rPr>
          <w:rFonts w:cs="Times New Roman"/>
          <w:szCs w:val="24"/>
        </w:rPr>
        <w:t>symptoms (positive/persistence = 1, absence = 0)).</w:t>
      </w:r>
    </w:p>
    <w:p w14:paraId="013F958E" w14:textId="7B5770A8" w:rsidR="0051227B" w:rsidRDefault="000848F7" w:rsidP="005122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 w:rsidRPr="000848F7">
        <w:rPr>
          <w:rFonts w:cs="Times New Roman"/>
          <w:szCs w:val="24"/>
        </w:rPr>
        <w:t>Imaging (e.g. includes high-resolution CT scan fibrosis scores, evaluated using the Goh score, with imaging performed at a median of 38 days after the final pulmonary function test).</w:t>
      </w:r>
    </w:p>
    <w:p w14:paraId="16B72708" w14:textId="77777777" w:rsidR="0051227B" w:rsidRPr="0051227B" w:rsidRDefault="0051227B" w:rsidP="0051227B">
      <w:pPr>
        <w:pStyle w:val="ListParagraph"/>
        <w:ind w:left="1440"/>
        <w:rPr>
          <w:rFonts w:cs="Times New Roman"/>
          <w:szCs w:val="24"/>
        </w:rPr>
      </w:pPr>
    </w:p>
    <w:p w14:paraId="23CDA76D" w14:textId="0244F517" w:rsidR="000848F7" w:rsidRPr="006B451A" w:rsidRDefault="000848F7" w:rsidP="001479BB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6B451A">
        <w:rPr>
          <w:rFonts w:cs="Times New Roman"/>
          <w:b/>
          <w:bCs/>
          <w:szCs w:val="24"/>
        </w:rPr>
        <w:lastRenderedPageBreak/>
        <w:t>gut_microbiota</w:t>
      </w:r>
    </w:p>
    <w:p w14:paraId="239CBECA" w14:textId="37281750" w:rsidR="000848F7" w:rsidRPr="00E7643E" w:rsidRDefault="00E7643E" w:rsidP="00E7643E">
      <w:pPr>
        <w:pStyle w:val="ListParagraph"/>
        <w:numPr>
          <w:ilvl w:val="1"/>
          <w:numId w:val="5"/>
        </w:numPr>
        <w:rPr>
          <w:rFonts w:cs="Times New Roman"/>
          <w:szCs w:val="24"/>
          <w:lang w:val="en-GB"/>
        </w:rPr>
      </w:pPr>
      <w:hyperlink r:id="rId7" w:anchor="refdata001" w:tooltip="https://www.sciencedirect.com/science/article/pii/S235234092400101X#refdata001" w:history="1">
        <w:r w:rsidRPr="00E7643E">
          <w:rPr>
            <w:rStyle w:val="Hyperlink"/>
            <w:rFonts w:cs="Times New Roman"/>
            <w:szCs w:val="24"/>
            <w:lang w:val="en-GB"/>
          </w:rPr>
          <w:t>Dataset of establishment of gut microbiota: Molecular analysis of a cohort of 29 preterm Moroccan newborns - ScienceDirect</w:t>
        </w:r>
      </w:hyperlink>
    </w:p>
    <w:p w14:paraId="10E718F3" w14:textId="0C4C2370" w:rsidR="00EA4239" w:rsidRDefault="000848F7" w:rsidP="0051227B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 xml:space="preserve">This dataset explores the establishment of gut microbiota in preterm Moroccan newborns. It was collected as part of a prospective cohort study conducted at the National Reference Center for Neonatology and Nutrition, Rabat, Morocco, between January and September 2021. </w:t>
      </w:r>
    </w:p>
    <w:p w14:paraId="4F501C14" w14:textId="0CB4CB57" w:rsidR="000848F7" w:rsidRPr="0051227B" w:rsidRDefault="000848F7" w:rsidP="0051227B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>The study focused on microbiota colonization during the first three weeks of life, with stool samples collected from 29 preterm infants.</w:t>
      </w:r>
    </w:p>
    <w:p w14:paraId="4F521D28" w14:textId="4C57A42F" w:rsidR="000848F7" w:rsidRPr="0051227B" w:rsidRDefault="000848F7" w:rsidP="0051227B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 xml:space="preserve">A total of 203 stool samples were analyzed using real-time PCR to assess the microbial composition, targeting four bacterial phyla: Firmicutes, Bacteroidetes, Actinobacteria, and Proteobacteria. </w:t>
      </w:r>
    </w:p>
    <w:p w14:paraId="1C3564F8" w14:textId="0EF9120D" w:rsidR="000848F7" w:rsidRPr="0051227B" w:rsidRDefault="000848F7" w:rsidP="0051227B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 xml:space="preserve">Key variables include: </w:t>
      </w:r>
    </w:p>
    <w:p w14:paraId="476F44FA" w14:textId="5A6707C9" w:rsidR="000848F7" w:rsidRPr="0051227B" w:rsidRDefault="000848F7" w:rsidP="00EA4239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>Sociodemographic factors (e.g., maternal age, residence).</w:t>
      </w:r>
    </w:p>
    <w:p w14:paraId="12B5FE38" w14:textId="25DC513B" w:rsidR="000848F7" w:rsidRPr="0051227B" w:rsidRDefault="000848F7" w:rsidP="00EA4239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 xml:space="preserve">Obstetrical data (e.g., delivery mode, gestational age). </w:t>
      </w:r>
    </w:p>
    <w:p w14:paraId="6AE66430" w14:textId="6AEC3312" w:rsidR="000848F7" w:rsidRPr="0051227B" w:rsidRDefault="000848F7" w:rsidP="00EA4239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 xml:space="preserve">Clinical factors (e.g., infection risk, birth weight). </w:t>
      </w:r>
    </w:p>
    <w:p w14:paraId="239E67F8" w14:textId="6BD06D16" w:rsidR="000848F7" w:rsidRPr="0051227B" w:rsidRDefault="000848F7" w:rsidP="0051227B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>The data includes detailed microbial profiles, as well as clinical observations during the infants’ hospitalization.</w:t>
      </w:r>
    </w:p>
    <w:p w14:paraId="0F07698B" w14:textId="126AF2A0" w:rsidR="000848F7" w:rsidRPr="0051227B" w:rsidRDefault="000848F7" w:rsidP="0051227B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51227B">
        <w:rPr>
          <w:rFonts w:cs="Times New Roman"/>
          <w:szCs w:val="24"/>
        </w:rPr>
        <w:t>The dataset is valuable for understanding the factors influencing gut microbiota development in preterm infants and offers</w:t>
      </w:r>
      <w:r w:rsidR="00EA4239">
        <w:rPr>
          <w:rFonts w:cs="Times New Roman"/>
          <w:szCs w:val="24"/>
        </w:rPr>
        <w:t xml:space="preserve"> </w:t>
      </w:r>
      <w:r w:rsidRPr="0051227B">
        <w:rPr>
          <w:rFonts w:cs="Times New Roman"/>
          <w:szCs w:val="24"/>
        </w:rPr>
        <w:t>insights into the impact of delivery mode, feeding practices, and antibiotic use.</w:t>
      </w:r>
    </w:p>
    <w:p w14:paraId="1FA9E44D" w14:textId="77777777" w:rsidR="000F4EC1" w:rsidRDefault="000F4EC1" w:rsidP="000F4EC1">
      <w:pPr>
        <w:rPr>
          <w:rFonts w:cs="Times New Roman"/>
          <w:szCs w:val="24"/>
        </w:rPr>
      </w:pPr>
    </w:p>
    <w:p w14:paraId="0B145167" w14:textId="70379707" w:rsidR="000848F7" w:rsidRPr="006B451A" w:rsidRDefault="000848F7" w:rsidP="000F4EC1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6B451A">
        <w:rPr>
          <w:rFonts w:cs="Times New Roman"/>
          <w:b/>
          <w:bCs/>
          <w:szCs w:val="24"/>
        </w:rPr>
        <w:t>immune_checkpoint_inhibitor</w:t>
      </w:r>
    </w:p>
    <w:p w14:paraId="25838FAC" w14:textId="5E7D3F81" w:rsidR="000848F7" w:rsidRPr="00E37EFC" w:rsidRDefault="00E37EFC" w:rsidP="00E37EFC">
      <w:pPr>
        <w:pStyle w:val="ListParagraph"/>
        <w:numPr>
          <w:ilvl w:val="1"/>
          <w:numId w:val="5"/>
        </w:numPr>
        <w:rPr>
          <w:rFonts w:cs="Times New Roman"/>
          <w:szCs w:val="24"/>
          <w:lang w:val="en-GB"/>
        </w:rPr>
      </w:pPr>
      <w:hyperlink r:id="rId8" w:anchor="refdata001" w:tooltip="https://www.sciencedirect.com/science/article/pii/S235234092200854X#refdata001" w:history="1">
        <w:r w:rsidRPr="00E37EFC">
          <w:rPr>
            <w:rStyle w:val="Hyperlink"/>
            <w:rFonts w:cs="Times New Roman"/>
            <w:szCs w:val="24"/>
            <w:lang w:val="en-GB"/>
          </w:rPr>
          <w:t>Dataset of a retrospective multicenter cohort study on characteristics of immune checkpoint inhibitor-induced encephalitis and comparison with HSV-1 and anti-LGI1 encephalitis - ScienceDirect</w:t>
        </w:r>
      </w:hyperlink>
    </w:p>
    <w:p w14:paraId="432B7640" w14:textId="53CAEF1F" w:rsidR="000848F7" w:rsidRPr="000F4EC1" w:rsidRDefault="000848F7" w:rsidP="000F4EC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 xml:space="preserve">This dataset stems from a multicenter cohort study aimed at investigating immune checkpoint inhibitor (ICI)-induced encephalitis </w:t>
      </w:r>
      <w:r w:rsidRPr="000F4EC1">
        <w:rPr>
          <w:rFonts w:cs="Times New Roman"/>
          <w:szCs w:val="24"/>
        </w:rPr>
        <w:tab/>
        <w:t>(ICI-iE)</w:t>
      </w:r>
      <w:r w:rsidR="00AD271F">
        <w:rPr>
          <w:rFonts w:cs="Times New Roman"/>
          <w:szCs w:val="24"/>
        </w:rPr>
        <w:t>.</w:t>
      </w:r>
      <w:r w:rsidRPr="000F4EC1">
        <w:rPr>
          <w:rFonts w:cs="Times New Roman"/>
          <w:szCs w:val="24"/>
        </w:rPr>
        <w:t xml:space="preserve"> </w:t>
      </w:r>
    </w:p>
    <w:p w14:paraId="75645B00" w14:textId="3B26442E" w:rsidR="000848F7" w:rsidRPr="000F4EC1" w:rsidRDefault="000848F7" w:rsidP="000F4EC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The study was conducted across multiple countries, including Germany, Japan, Australia, and the Netherlands, and covers cases from 2015 to 2021.</w:t>
      </w:r>
    </w:p>
    <w:p w14:paraId="26040277" w14:textId="0FD37456" w:rsidR="000848F7" w:rsidRPr="000F4EC1" w:rsidRDefault="000848F7" w:rsidP="000F4EC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 xml:space="preserve">The dataset includes data from 30 cases of ICI-iE. </w:t>
      </w:r>
    </w:p>
    <w:p w14:paraId="02DF65A0" w14:textId="4496F3A6" w:rsidR="000848F7" w:rsidRPr="000F4EC1" w:rsidRDefault="000848F7" w:rsidP="000F4EC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The goal is to better understand the clinical, radiologic, and laboratory characteristics of ICI-iE to improve diagnosis and treatment.</w:t>
      </w:r>
    </w:p>
    <w:p w14:paraId="4F4A6F29" w14:textId="21C8FE5A" w:rsidR="000848F7" w:rsidRPr="000F4EC1" w:rsidRDefault="000848F7" w:rsidP="000F4EC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Key variables include:</w:t>
      </w:r>
    </w:p>
    <w:p w14:paraId="75974F09" w14:textId="0534953B" w:rsidR="000848F7" w:rsidRPr="000F4EC1" w:rsidRDefault="000848F7" w:rsidP="002430D4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Demographics: Patient age, gender, and comorbidities.</w:t>
      </w:r>
    </w:p>
    <w:p w14:paraId="48C006A1" w14:textId="487EB984" w:rsidR="000848F7" w:rsidRPr="000F4EC1" w:rsidRDefault="000848F7" w:rsidP="002430D4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Tumor type: For patients with ICI-iE, the type of cancer they were treated for is recorded.</w:t>
      </w:r>
    </w:p>
    <w:p w14:paraId="09CB19CB" w14:textId="7411B754" w:rsidR="000848F7" w:rsidRPr="000F4EC1" w:rsidRDefault="000848F7" w:rsidP="002430D4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Immune checkpoint inhibitors: Information on the types of ICIs used and the presence of any additional immune-related adverse events (irAEs).</w:t>
      </w:r>
    </w:p>
    <w:p w14:paraId="4FA94947" w14:textId="43D9A0A9" w:rsidR="000848F7" w:rsidRPr="000F4EC1" w:rsidRDefault="000848F7" w:rsidP="002430D4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Symptoms: Neurological symptoms such as impaired consciousness, memory deficits, confusion, seizures, and behavioral changes.</w:t>
      </w:r>
    </w:p>
    <w:p w14:paraId="2C6CFC0A" w14:textId="755EF20C" w:rsidR="000848F7" w:rsidRPr="000F4EC1" w:rsidRDefault="000848F7" w:rsidP="002430D4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lastRenderedPageBreak/>
        <w:t>Laboratory results: Blood and cerebrospinal fluid (CSF) analysis, including white blood cell count, C-reactive protein (CRP), and procalcitonin (PCT).</w:t>
      </w:r>
    </w:p>
    <w:p w14:paraId="6C0DDDE7" w14:textId="4B221DA5" w:rsidR="000848F7" w:rsidRPr="000F4EC1" w:rsidRDefault="000848F7" w:rsidP="002430D4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Imaging findings: Results from brain MRI and EEG to aid in the diagnosis.</w:t>
      </w:r>
    </w:p>
    <w:p w14:paraId="7FA746FE" w14:textId="3227958A" w:rsidR="000848F7" w:rsidRDefault="000848F7" w:rsidP="00DE3148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0F4EC1">
        <w:rPr>
          <w:rFonts w:cs="Times New Roman"/>
          <w:szCs w:val="24"/>
        </w:rPr>
        <w:t>Outcome: Patients’ clinical outcomes, classified as full recovery, recovery with sequelae, ongoing symptoms, or death.</w:t>
      </w:r>
    </w:p>
    <w:p w14:paraId="3382002B" w14:textId="77777777" w:rsidR="00DE3148" w:rsidRPr="00DE3148" w:rsidRDefault="00DE3148" w:rsidP="00DE3148">
      <w:pPr>
        <w:rPr>
          <w:rFonts w:cs="Times New Roman"/>
          <w:szCs w:val="24"/>
        </w:rPr>
      </w:pPr>
    </w:p>
    <w:p w14:paraId="4F5B7A6E" w14:textId="03609D00" w:rsidR="000848F7" w:rsidRPr="006B451A" w:rsidRDefault="000848F7" w:rsidP="00DE3148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4"/>
        </w:rPr>
      </w:pPr>
      <w:r w:rsidRPr="006B451A">
        <w:rPr>
          <w:rFonts w:cs="Times New Roman"/>
          <w:b/>
          <w:bCs/>
          <w:szCs w:val="24"/>
        </w:rPr>
        <w:t>respiratory_infections</w:t>
      </w:r>
    </w:p>
    <w:p w14:paraId="24DA5DD2" w14:textId="6287491C" w:rsidR="00DE3148" w:rsidRDefault="004E092B" w:rsidP="00DE31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hyperlink r:id="rId9" w:history="1">
        <w:r w:rsidRPr="004E092B">
          <w:rPr>
            <w:rStyle w:val="Hyperlink"/>
            <w:rFonts w:cs="Times New Roman"/>
            <w:szCs w:val="24"/>
          </w:rPr>
          <w:t>Dataset of acute respiratory infections: Epidemiological and etiological data from a cohort of 801 Moroccan children - ScienceDirect</w:t>
        </w:r>
      </w:hyperlink>
    </w:p>
    <w:p w14:paraId="2D397670" w14:textId="6066EA56" w:rsidR="000848F7" w:rsidRPr="00DE3148" w:rsidRDefault="000848F7" w:rsidP="00DE31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 xml:space="preserve">The dataset on acute respiratory infections in Moroccan children provides valuable insights into the epidemiology, clinical presentation, and pathogen profiles of children hospitalized with severe pneumonia. </w:t>
      </w:r>
    </w:p>
    <w:p w14:paraId="108182ED" w14:textId="07075A4E" w:rsidR="000848F7" w:rsidRPr="00DE3148" w:rsidRDefault="000848F7" w:rsidP="00DE31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 xml:space="preserve">Collected from 801 children at the Children’s Hospital of Rabat, this data is significant for understanding respiratory </w:t>
      </w:r>
      <w:r w:rsidRPr="00DE3148">
        <w:rPr>
          <w:rFonts w:cs="Times New Roman"/>
          <w:szCs w:val="24"/>
        </w:rPr>
        <w:tab/>
        <w:t>infections in low- and middle-income countries, where such diseases contribute substantially to childhood morbidity and mortality.</w:t>
      </w:r>
    </w:p>
    <w:p w14:paraId="53888893" w14:textId="1FA9C1D8" w:rsidR="000848F7" w:rsidRPr="00DE3148" w:rsidRDefault="000848F7" w:rsidP="00DE31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 xml:space="preserve">The study utilized a combination of clinical evaluations, laboratory tests (hemoculture, bacterial culture, and multiplex RT-PCR), and radiological data to comprehensively diagnose and monitor the patients. </w:t>
      </w:r>
    </w:p>
    <w:p w14:paraId="37EC5E5F" w14:textId="77B6421A" w:rsidR="000848F7" w:rsidRPr="00DE3148" w:rsidRDefault="000848F7" w:rsidP="00DE31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>Key variables in the dataset include:</w:t>
      </w:r>
    </w:p>
    <w:p w14:paraId="01ED3CBB" w14:textId="21ED3EC7" w:rsidR="000848F7" w:rsidRPr="00DE3148" w:rsidRDefault="000848F7" w:rsidP="00D27E95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>Epidemiological Data: Information on age, gender, residence, vaccination status, and environmental factors (e.g., exposure to smoke or overcrowded living conditions).</w:t>
      </w:r>
    </w:p>
    <w:p w14:paraId="053F79B9" w14:textId="4BDBCA9F" w:rsidR="000848F7" w:rsidRPr="00DE3148" w:rsidRDefault="000848F7" w:rsidP="00D27E95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>Clinical Data: Symptoms at presentation, such as cough, difficulty breathing, and fever. Also includes clinical assessments like respiratory rate and chest induration.</w:t>
      </w:r>
    </w:p>
    <w:p w14:paraId="6F2D72FE" w14:textId="2D5AA7E8" w:rsidR="000848F7" w:rsidRPr="00DE3148" w:rsidRDefault="000848F7" w:rsidP="00D27E95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>Biological Data: Laboratory results from blood tests, hemocultures, and PCR for pathogen detection.</w:t>
      </w:r>
    </w:p>
    <w:p w14:paraId="3DA1615E" w14:textId="28BD74E8" w:rsidR="000848F7" w:rsidRPr="00DE3148" w:rsidRDefault="000848F7" w:rsidP="00D27E95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DE3148">
        <w:rPr>
          <w:rFonts w:cs="Times New Roman"/>
          <w:szCs w:val="24"/>
        </w:rPr>
        <w:t>Radiological Data: Chest X-ray findings, interpreted according to WHO guidelines, focusing on the presence of consolidation or pleural effusion, which are indicators of pneumonia.</w:t>
      </w:r>
    </w:p>
    <w:p w14:paraId="2473D32D" w14:textId="0068460E" w:rsidR="00225814" w:rsidRDefault="000848F7" w:rsidP="00D27E95">
      <w:pPr>
        <w:pStyle w:val="ListParagraph"/>
        <w:numPr>
          <w:ilvl w:val="2"/>
          <w:numId w:val="5"/>
        </w:numPr>
      </w:pPr>
      <w:r w:rsidRPr="00DE3148">
        <w:rPr>
          <w:rFonts w:cs="Times New Roman"/>
          <w:szCs w:val="24"/>
        </w:rPr>
        <w:t>Etiological Data: Pathogen identification from nasopharyngeal aspirate and blood samples, which includes viruses like rhinovirus, RSV, and adenovirus, and bacteria such as Bordetella pertussis and Mycoplasma</w:t>
      </w:r>
      <w:r>
        <w:t xml:space="preserve"> pneumoniae.</w:t>
      </w:r>
    </w:p>
    <w:sectPr w:rsidR="0022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4EC"/>
    <w:multiLevelType w:val="multilevel"/>
    <w:tmpl w:val="0916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1043"/>
    <w:multiLevelType w:val="hybridMultilevel"/>
    <w:tmpl w:val="675EF0F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1">
      <w:start w:val="1"/>
      <w:numFmt w:val="decimal"/>
      <w:lvlText w:val="%2)"/>
      <w:lvlJc w:val="left"/>
      <w:pPr>
        <w:ind w:left="36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B5BE4"/>
    <w:multiLevelType w:val="hybridMultilevel"/>
    <w:tmpl w:val="A1887038"/>
    <w:lvl w:ilvl="0" w:tplc="0809001B">
      <w:start w:val="1"/>
      <w:numFmt w:val="lowerRoman"/>
      <w:lvlText w:val="%1."/>
      <w:lvlJc w:val="right"/>
      <w:pPr>
        <w:ind w:left="180" w:hanging="180"/>
      </w:pPr>
    </w:lvl>
    <w:lvl w:ilvl="1" w:tplc="08090019" w:tentative="1">
      <w:start w:val="1"/>
      <w:numFmt w:val="lowerLetter"/>
      <w:lvlText w:val="%2."/>
      <w:lvlJc w:val="left"/>
      <w:pPr>
        <w:ind w:left="-180" w:hanging="360"/>
      </w:pPr>
    </w:lvl>
    <w:lvl w:ilvl="2" w:tplc="0809001B">
      <w:start w:val="1"/>
      <w:numFmt w:val="lowerRoman"/>
      <w:lvlText w:val="%3."/>
      <w:lvlJc w:val="right"/>
      <w:pPr>
        <w:ind w:left="540" w:hanging="180"/>
      </w:pPr>
    </w:lvl>
    <w:lvl w:ilvl="3" w:tplc="0809000F" w:tentative="1">
      <w:start w:val="1"/>
      <w:numFmt w:val="decimal"/>
      <w:lvlText w:val="%4."/>
      <w:lvlJc w:val="left"/>
      <w:pPr>
        <w:ind w:left="1260" w:hanging="360"/>
      </w:p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3" w15:restartNumberingAfterBreak="0">
    <w:nsid w:val="25A14F4B"/>
    <w:multiLevelType w:val="multilevel"/>
    <w:tmpl w:val="6E06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F4B8C"/>
    <w:multiLevelType w:val="hybridMultilevel"/>
    <w:tmpl w:val="E68624A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6C44B5"/>
    <w:multiLevelType w:val="hybridMultilevel"/>
    <w:tmpl w:val="228801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42E6D"/>
    <w:multiLevelType w:val="hybridMultilevel"/>
    <w:tmpl w:val="F67C76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8443E"/>
    <w:multiLevelType w:val="multilevel"/>
    <w:tmpl w:val="70CE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C6099"/>
    <w:multiLevelType w:val="hybridMultilevel"/>
    <w:tmpl w:val="AF6A13A6"/>
    <w:lvl w:ilvl="0" w:tplc="0809001B">
      <w:start w:val="1"/>
      <w:numFmt w:val="lowerRoman"/>
      <w:lvlText w:val="%1."/>
      <w:lvlJc w:val="right"/>
      <w:pPr>
        <w:ind w:left="540" w:hanging="180"/>
      </w:pPr>
    </w:lvl>
    <w:lvl w:ilvl="1" w:tplc="08090019" w:tentative="1">
      <w:start w:val="1"/>
      <w:numFmt w:val="lowerLetter"/>
      <w:lvlText w:val="%2."/>
      <w:lvlJc w:val="left"/>
      <w:pPr>
        <w:ind w:left="180" w:hanging="360"/>
      </w:pPr>
    </w:lvl>
    <w:lvl w:ilvl="2" w:tplc="0809001B">
      <w:start w:val="1"/>
      <w:numFmt w:val="lowerRoman"/>
      <w:lvlText w:val="%3."/>
      <w:lvlJc w:val="right"/>
      <w:pPr>
        <w:ind w:left="900" w:hanging="180"/>
      </w:pPr>
    </w:lvl>
    <w:lvl w:ilvl="3" w:tplc="0809000F" w:tentative="1">
      <w:start w:val="1"/>
      <w:numFmt w:val="decimal"/>
      <w:lvlText w:val="%4."/>
      <w:lvlJc w:val="left"/>
      <w:pPr>
        <w:ind w:left="1620" w:hanging="360"/>
      </w:pPr>
    </w:lvl>
    <w:lvl w:ilvl="4" w:tplc="08090019" w:tentative="1">
      <w:start w:val="1"/>
      <w:numFmt w:val="lowerLetter"/>
      <w:lvlText w:val="%5."/>
      <w:lvlJc w:val="left"/>
      <w:pPr>
        <w:ind w:left="2340" w:hanging="360"/>
      </w:pPr>
    </w:lvl>
    <w:lvl w:ilvl="5" w:tplc="0809001B" w:tentative="1">
      <w:start w:val="1"/>
      <w:numFmt w:val="lowerRoman"/>
      <w:lvlText w:val="%6."/>
      <w:lvlJc w:val="right"/>
      <w:pPr>
        <w:ind w:left="3060" w:hanging="180"/>
      </w:pPr>
    </w:lvl>
    <w:lvl w:ilvl="6" w:tplc="0809000F" w:tentative="1">
      <w:start w:val="1"/>
      <w:numFmt w:val="decimal"/>
      <w:lvlText w:val="%7."/>
      <w:lvlJc w:val="left"/>
      <w:pPr>
        <w:ind w:left="3780" w:hanging="360"/>
      </w:pPr>
    </w:lvl>
    <w:lvl w:ilvl="7" w:tplc="08090019" w:tentative="1">
      <w:start w:val="1"/>
      <w:numFmt w:val="lowerLetter"/>
      <w:lvlText w:val="%8."/>
      <w:lvlJc w:val="left"/>
      <w:pPr>
        <w:ind w:left="4500" w:hanging="360"/>
      </w:pPr>
    </w:lvl>
    <w:lvl w:ilvl="8" w:tplc="08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 w15:restartNumberingAfterBreak="0">
    <w:nsid w:val="5CD05693"/>
    <w:multiLevelType w:val="hybridMultilevel"/>
    <w:tmpl w:val="1390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667B"/>
    <w:multiLevelType w:val="hybridMultilevel"/>
    <w:tmpl w:val="120E1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40FD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C0E99"/>
    <w:multiLevelType w:val="hybridMultilevel"/>
    <w:tmpl w:val="8ED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27A48"/>
    <w:multiLevelType w:val="multilevel"/>
    <w:tmpl w:val="E6C2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748262">
    <w:abstractNumId w:val="10"/>
  </w:num>
  <w:num w:numId="2" w16cid:durableId="1549606743">
    <w:abstractNumId w:val="6"/>
  </w:num>
  <w:num w:numId="3" w16cid:durableId="1164970624">
    <w:abstractNumId w:val="1"/>
  </w:num>
  <w:num w:numId="4" w16cid:durableId="631833535">
    <w:abstractNumId w:val="11"/>
  </w:num>
  <w:num w:numId="5" w16cid:durableId="2073966766">
    <w:abstractNumId w:val="4"/>
  </w:num>
  <w:num w:numId="6" w16cid:durableId="275256802">
    <w:abstractNumId w:val="7"/>
  </w:num>
  <w:num w:numId="7" w16cid:durableId="1508522616">
    <w:abstractNumId w:val="9"/>
  </w:num>
  <w:num w:numId="8" w16cid:durableId="1994678903">
    <w:abstractNumId w:val="5"/>
  </w:num>
  <w:num w:numId="9" w16cid:durableId="803428283">
    <w:abstractNumId w:val="3"/>
  </w:num>
  <w:num w:numId="10" w16cid:durableId="381682358">
    <w:abstractNumId w:val="12"/>
  </w:num>
  <w:num w:numId="11" w16cid:durableId="1723091557">
    <w:abstractNumId w:val="0"/>
  </w:num>
  <w:num w:numId="12" w16cid:durableId="1837374706">
    <w:abstractNumId w:val="2"/>
  </w:num>
  <w:num w:numId="13" w16cid:durableId="275987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YwMTI1MLI0NjcxMzJU0lEKTi0uzszPAykwrAUANmaw8iwAAAA="/>
  </w:docVars>
  <w:rsids>
    <w:rsidRoot w:val="000848F7"/>
    <w:rsid w:val="00007BD0"/>
    <w:rsid w:val="00046B33"/>
    <w:rsid w:val="000644AF"/>
    <w:rsid w:val="000848F7"/>
    <w:rsid w:val="000F4EC1"/>
    <w:rsid w:val="001479BB"/>
    <w:rsid w:val="00225814"/>
    <w:rsid w:val="002430D4"/>
    <w:rsid w:val="002F2054"/>
    <w:rsid w:val="0048580B"/>
    <w:rsid w:val="00495E8C"/>
    <w:rsid w:val="004E092B"/>
    <w:rsid w:val="0051227B"/>
    <w:rsid w:val="005473D5"/>
    <w:rsid w:val="006B451A"/>
    <w:rsid w:val="006E6044"/>
    <w:rsid w:val="007653CC"/>
    <w:rsid w:val="008323B0"/>
    <w:rsid w:val="00AD271F"/>
    <w:rsid w:val="00B1375F"/>
    <w:rsid w:val="00D27E95"/>
    <w:rsid w:val="00DA0EEC"/>
    <w:rsid w:val="00DE3148"/>
    <w:rsid w:val="00DF0683"/>
    <w:rsid w:val="00E37EFC"/>
    <w:rsid w:val="00E44DC4"/>
    <w:rsid w:val="00E7643E"/>
    <w:rsid w:val="00EA2140"/>
    <w:rsid w:val="00E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E7A1"/>
  <w15:chartTrackingRefBased/>
  <w15:docId w15:val="{2AC3E0DD-CECA-4FDC-AD32-328E918E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0B"/>
    <w:pPr>
      <w:spacing w:after="200" w:line="276" w:lineRule="auto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F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F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F7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F7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F7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F7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F7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F7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F7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F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8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F7"/>
    <w:rPr>
      <w:rFonts w:ascii="Times New Roman" w:hAnsi="Times New Roman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8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F7"/>
    <w:rPr>
      <w:rFonts w:ascii="Times New Roman" w:hAnsi="Times New Roman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8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8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3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8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59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36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64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8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4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8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2200854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34092400101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3523409240096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235234092300569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352340924004268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Šeligová, Júlia</dc:creator>
  <cp:keywords/>
  <dc:description/>
  <cp:lastModifiedBy>Šeligová, Júlia</cp:lastModifiedBy>
  <cp:revision>22</cp:revision>
  <dcterms:created xsi:type="dcterms:W3CDTF">2025-02-12T14:01:00Z</dcterms:created>
  <dcterms:modified xsi:type="dcterms:W3CDTF">2025-02-12T14:50:00Z</dcterms:modified>
</cp:coreProperties>
</file>