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4D62" w:rsidRDefault="006F4D62" w:rsidP="006F4D62">
      <w:pPr>
        <w:jc w:val="center"/>
        <w:rPr>
          <w:b/>
          <w:sz w:val="30"/>
          <w:szCs w:val="30"/>
        </w:rPr>
      </w:pPr>
      <w:r>
        <w:rPr>
          <w:b/>
          <w:sz w:val="30"/>
          <w:szCs w:val="30"/>
        </w:rPr>
        <w:t xml:space="preserve">Visual Information in the Dark: </w:t>
      </w:r>
    </w:p>
    <w:p w:rsidR="006F4D62" w:rsidRDefault="006F4D62" w:rsidP="006F4D62">
      <w:pPr>
        <w:jc w:val="center"/>
        <w:rPr>
          <w:b/>
          <w:sz w:val="30"/>
          <w:szCs w:val="30"/>
        </w:rPr>
      </w:pPr>
      <w:r>
        <w:rPr>
          <w:b/>
          <w:sz w:val="30"/>
          <w:szCs w:val="30"/>
        </w:rPr>
        <w:t>Bioluminescence and Perceptual Design Through Evolution</w:t>
      </w:r>
    </w:p>
    <w:p w:rsidR="006F4D62" w:rsidRDefault="006F4D62" w:rsidP="006F4D62">
      <w:pPr>
        <w:jc w:val="center"/>
        <w:rPr>
          <w:b/>
          <w:sz w:val="30"/>
          <w:szCs w:val="30"/>
        </w:rPr>
      </w:pPr>
    </w:p>
    <w:p w:rsidR="006F4D62" w:rsidRDefault="006F4D62" w:rsidP="006F4D62">
      <w:pPr>
        <w:jc w:val="center"/>
        <w:rPr>
          <w:b/>
        </w:rPr>
      </w:pPr>
      <w:r>
        <w:rPr>
          <w:b/>
        </w:rPr>
        <w:t>Todd H. Oakley</w:t>
      </w:r>
    </w:p>
    <w:p w:rsidR="006F4D62" w:rsidRDefault="006F4D62" w:rsidP="006F4D62">
      <w:pPr>
        <w:jc w:val="center"/>
        <w:rPr>
          <w:b/>
        </w:rPr>
      </w:pPr>
      <w:r>
        <w:rPr>
          <w:b/>
        </w:rPr>
        <w:t>University of California, Santa Barbara</w:t>
      </w:r>
    </w:p>
    <w:p w:rsidR="006F4D62" w:rsidRDefault="006F4D62" w:rsidP="006F4D62">
      <w:pPr>
        <w:pStyle w:val="Heading2"/>
        <w:ind w:firstLine="0"/>
      </w:pPr>
      <w:bookmarkStart w:id="0" w:name="_pa0kvvx0c39o" w:colFirst="0" w:colLast="0"/>
      <w:bookmarkEnd w:id="0"/>
      <w:r>
        <w:t>Abstract</w:t>
      </w:r>
    </w:p>
    <w:p w:rsidR="006F4D62" w:rsidRDefault="006F4D62" w:rsidP="006F4D62">
      <w:pPr>
        <w:numPr>
          <w:ilvl w:val="0"/>
          <w:numId w:val="1"/>
        </w:numPr>
        <w:spacing w:line="276" w:lineRule="auto"/>
      </w:pPr>
      <w:r>
        <w:t xml:space="preserve">Bioluminescence offers a powerful framework for understanding how organisms evolve to shape visual information in diverse ways. Complementing studies of color, transparency, and pattern in illuminated environments, bioluminescent systems instead rely on generated light, operate against dark backgrounds, and are influenced by distinct energetic and ecological constraints. </w:t>
      </w:r>
    </w:p>
    <w:p w:rsidR="006F4D62" w:rsidRDefault="006F4D62" w:rsidP="006F4D62">
      <w:pPr>
        <w:numPr>
          <w:ilvl w:val="0"/>
          <w:numId w:val="1"/>
        </w:numPr>
        <w:spacing w:line="276" w:lineRule="auto"/>
      </w:pPr>
      <w:r>
        <w:t xml:space="preserve">This review synthesizes how and why four information channels of bioluminescence – wavelength, intensity, spatial pattern, and temporal dynamics – diversify during evolution to serve many functions, including predator-prey interactions, species recognition, and courtship. These channels each are influenced by mechanisms of emission, environmental mediation, and reception, leading to a concept herein called </w:t>
      </w:r>
      <w:r>
        <w:rPr>
          <w:i/>
        </w:rPr>
        <w:t>perceptual design</w:t>
      </w:r>
      <w:r>
        <w:t>: the diversification of visual information systems through evolution.</w:t>
      </w:r>
    </w:p>
    <w:p w:rsidR="006F4D62" w:rsidRDefault="006F4D62" w:rsidP="006F4D62">
      <w:pPr>
        <w:numPr>
          <w:ilvl w:val="0"/>
          <w:numId w:val="1"/>
        </w:numPr>
        <w:spacing w:line="276" w:lineRule="auto"/>
      </w:pPr>
      <w:r>
        <w:t xml:space="preserve">Bioluminescent systems diversify in many ways, with both similarities and differences to diversification of visual information systems in bright environments. In both bright and dim environments, sexual selection likely contributes to diversification of courtship signals. However, whereas courtship and aposematic signals in illuminated settings often diversify in color space, bioluminescent signals may more often diverge in timing, spatial arrangement, and brightness. Emerging evidence also suggests that bioluminescence often originates in nonsexual contexts and later may be co-opted for courtship. </w:t>
      </w:r>
    </w:p>
    <w:p w:rsidR="006F4D62" w:rsidRDefault="006F4D62" w:rsidP="006F4D62">
      <w:pPr>
        <w:numPr>
          <w:ilvl w:val="0"/>
          <w:numId w:val="1"/>
        </w:numPr>
        <w:spacing w:line="276" w:lineRule="auto"/>
      </w:pPr>
      <w:r>
        <w:t>In general, bioluminescent systems complement information systems shaped by ambient light for addressing broad questions in sensory evolution, sexual selection, macroevolutionary dynamics, and the origins of biological diversity.</w:t>
      </w:r>
    </w:p>
    <w:p w:rsidR="006F4D62" w:rsidRDefault="006F4D62" w:rsidP="006F4D62">
      <w:pPr>
        <w:spacing w:line="276" w:lineRule="auto"/>
        <w:ind w:left="360" w:firstLine="0"/>
      </w:pPr>
    </w:p>
    <w:p w:rsidR="006F4D62" w:rsidRDefault="006F4D62" w:rsidP="006F4D62">
      <w:pPr>
        <w:spacing w:line="276" w:lineRule="auto"/>
        <w:ind w:left="360" w:firstLine="0"/>
      </w:pPr>
      <w:r>
        <w:t>Keywords: Bioluminescence, visual systems, evolution, visual ecology, perceptual design, macroevolution</w:t>
      </w:r>
    </w:p>
    <w:p w:rsidR="006F4D62" w:rsidRDefault="006F4D62" w:rsidP="006F4D62">
      <w:pPr>
        <w:spacing w:line="276" w:lineRule="auto"/>
        <w:ind w:firstLine="0"/>
      </w:pPr>
    </w:p>
    <w:p w:rsidR="006F4D62" w:rsidRDefault="006F4D62" w:rsidP="006F4D62">
      <w:pPr>
        <w:pStyle w:val="Heading2"/>
        <w:ind w:firstLine="0"/>
      </w:pPr>
      <w:bookmarkStart w:id="1" w:name="_ku9nhyu1ivsb" w:colFirst="0" w:colLast="0"/>
      <w:bookmarkEnd w:id="1"/>
      <w:r>
        <w:t>Data Accessibility</w:t>
      </w:r>
    </w:p>
    <w:p w:rsidR="006F4D62" w:rsidRDefault="006F4D62" w:rsidP="006F4D62">
      <w:pPr>
        <w:ind w:firstLine="0"/>
      </w:pPr>
      <w:r>
        <w:t xml:space="preserve">There is no new data presented in this review article. </w:t>
      </w:r>
    </w:p>
    <w:p w:rsidR="006F4D62" w:rsidRDefault="006F4D62" w:rsidP="006F4D62">
      <w:pPr>
        <w:pStyle w:val="Heading2"/>
        <w:ind w:firstLine="0"/>
      </w:pPr>
      <w:bookmarkStart w:id="2" w:name="_n2b4redz5uay" w:colFirst="0" w:colLast="0"/>
      <w:bookmarkEnd w:id="2"/>
      <w:r>
        <w:lastRenderedPageBreak/>
        <w:t>Acknowledgements</w:t>
      </w:r>
    </w:p>
    <w:p w:rsidR="006F4D62" w:rsidRDefault="006F4D62" w:rsidP="006F4D62">
      <w:pPr>
        <w:ind w:firstLine="0"/>
        <w:rPr>
          <w:color w:val="222222"/>
          <w:highlight w:val="white"/>
        </w:rPr>
      </w:pPr>
      <w:r>
        <w:t xml:space="preserve">Thank you to current and past members of our lab for discussions and comments on drafts of this manuscript, especially D. Speiser. Thanks to E. Warrant and E. Caves for comments on earlier drafts. Thanks to Z. </w:t>
      </w:r>
      <w:proofErr w:type="spellStart"/>
      <w:r>
        <w:t>Muzilová</w:t>
      </w:r>
      <w:proofErr w:type="spellEnd"/>
      <w:r>
        <w:t xml:space="preserve"> for helpful critiques and organizing the special issue. This was written while the lab was supported by NSF DEB-2153773 and HFSP </w:t>
      </w:r>
      <w:r>
        <w:rPr>
          <w:color w:val="222222"/>
          <w:highlight w:val="white"/>
        </w:rPr>
        <w:t>RGP021/2024.</w:t>
      </w:r>
    </w:p>
    <w:p w:rsidR="006F4D62" w:rsidRDefault="006F4D62" w:rsidP="006F4D62">
      <w:pPr>
        <w:ind w:firstLine="0"/>
      </w:pPr>
    </w:p>
    <w:p w:rsidR="006F4D62" w:rsidRDefault="006F4D62" w:rsidP="006F4D62">
      <w:pPr>
        <w:pStyle w:val="Heading2"/>
        <w:ind w:firstLine="0"/>
      </w:pPr>
      <w:bookmarkStart w:id="3" w:name="_c874r6tx0tb" w:colFirst="0" w:colLast="0"/>
      <w:bookmarkEnd w:id="3"/>
      <w:r>
        <w:t>Conflict of Interest Statement</w:t>
      </w:r>
    </w:p>
    <w:p w:rsidR="007C3E74" w:rsidRDefault="006F4D62" w:rsidP="006F4D62">
      <w:r>
        <w:t>The author has no conflict of interest to declare.</w:t>
      </w:r>
      <w:r>
        <w:br w:type="page"/>
      </w:r>
    </w:p>
    <w:sectPr w:rsidR="007C3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82DA8"/>
    <w:multiLevelType w:val="multilevel"/>
    <w:tmpl w:val="884E9B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77054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D62"/>
    <w:rsid w:val="00013C1F"/>
    <w:rsid w:val="001849E0"/>
    <w:rsid w:val="001B2B86"/>
    <w:rsid w:val="001D362D"/>
    <w:rsid w:val="003551CB"/>
    <w:rsid w:val="00422346"/>
    <w:rsid w:val="005F1CC1"/>
    <w:rsid w:val="00684D54"/>
    <w:rsid w:val="006F4D62"/>
    <w:rsid w:val="007C3E74"/>
    <w:rsid w:val="009D4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8418F5"/>
  <w15:chartTrackingRefBased/>
  <w15:docId w15:val="{3D8147A1-B51A-3C40-8496-5D8146A43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62"/>
    <w:pPr>
      <w:spacing w:after="0" w:line="360" w:lineRule="auto"/>
      <w:ind w:firstLine="720"/>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6F4D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4D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D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D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D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D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D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D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D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D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D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D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D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D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D62"/>
    <w:rPr>
      <w:rFonts w:eastAsiaTheme="majorEastAsia" w:cstheme="majorBidi"/>
      <w:color w:val="272727" w:themeColor="text1" w:themeTint="D8"/>
    </w:rPr>
  </w:style>
  <w:style w:type="paragraph" w:styleId="Title">
    <w:name w:val="Title"/>
    <w:basedOn w:val="Normal"/>
    <w:next w:val="Normal"/>
    <w:link w:val="TitleChar"/>
    <w:uiPriority w:val="10"/>
    <w:qFormat/>
    <w:rsid w:val="006F4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D62"/>
    <w:pPr>
      <w:spacing w:before="160"/>
      <w:jc w:val="center"/>
    </w:pPr>
    <w:rPr>
      <w:i/>
      <w:iCs/>
      <w:color w:val="404040" w:themeColor="text1" w:themeTint="BF"/>
    </w:rPr>
  </w:style>
  <w:style w:type="character" w:customStyle="1" w:styleId="QuoteChar">
    <w:name w:val="Quote Char"/>
    <w:basedOn w:val="DefaultParagraphFont"/>
    <w:link w:val="Quote"/>
    <w:uiPriority w:val="29"/>
    <w:rsid w:val="006F4D62"/>
    <w:rPr>
      <w:i/>
      <w:iCs/>
      <w:color w:val="404040" w:themeColor="text1" w:themeTint="BF"/>
    </w:rPr>
  </w:style>
  <w:style w:type="paragraph" w:styleId="ListParagraph">
    <w:name w:val="List Paragraph"/>
    <w:basedOn w:val="Normal"/>
    <w:uiPriority w:val="34"/>
    <w:qFormat/>
    <w:rsid w:val="006F4D62"/>
    <w:pPr>
      <w:ind w:left="720"/>
      <w:contextualSpacing/>
    </w:pPr>
  </w:style>
  <w:style w:type="character" w:styleId="IntenseEmphasis">
    <w:name w:val="Intense Emphasis"/>
    <w:basedOn w:val="DefaultParagraphFont"/>
    <w:uiPriority w:val="21"/>
    <w:qFormat/>
    <w:rsid w:val="006F4D62"/>
    <w:rPr>
      <w:i/>
      <w:iCs/>
      <w:color w:val="2F5496" w:themeColor="accent1" w:themeShade="BF"/>
    </w:rPr>
  </w:style>
  <w:style w:type="paragraph" w:styleId="IntenseQuote">
    <w:name w:val="Intense Quote"/>
    <w:basedOn w:val="Normal"/>
    <w:next w:val="Normal"/>
    <w:link w:val="IntenseQuoteChar"/>
    <w:uiPriority w:val="30"/>
    <w:qFormat/>
    <w:rsid w:val="006F4D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D62"/>
    <w:rPr>
      <w:i/>
      <w:iCs/>
      <w:color w:val="2F5496" w:themeColor="accent1" w:themeShade="BF"/>
    </w:rPr>
  </w:style>
  <w:style w:type="character" w:styleId="IntenseReference">
    <w:name w:val="Intense Reference"/>
    <w:basedOn w:val="DefaultParagraphFont"/>
    <w:uiPriority w:val="32"/>
    <w:qFormat/>
    <w:rsid w:val="006F4D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Oakley</dc:creator>
  <cp:keywords/>
  <dc:description/>
  <cp:lastModifiedBy>Todd Oakley</cp:lastModifiedBy>
  <cp:revision>1</cp:revision>
  <dcterms:created xsi:type="dcterms:W3CDTF">2025-06-27T02:07:00Z</dcterms:created>
  <dcterms:modified xsi:type="dcterms:W3CDTF">2025-06-27T02:08:00Z</dcterms:modified>
</cp:coreProperties>
</file>