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DTP data: GBD 2023 vs WHO reported cases — research brief</w:t>
      </w:r>
    </w:p>
    <w:p>
      <w:pPr/>
      <w:r>
        <w:t xml:space="preserve">Oct 22, 2026</w:t>
      </w:r>
      <w:r>
        <w:t xml:space="preserve"> · </w:t>
      </w:r>
      <w:r>
        <w:t xml:space="preserve">@Jared</w:t>
      </w:r>
    </w:p>
    <w:p>
      <w:pPr/>
      <w:r>
        <w:t xml:space="preserve">Most of the GBD-vs-WHO discrepancies follow from documented GBD 2023 modelling choices. Pertussis is scaled to Switzerland's reporting level. Diphtheria and tetanus incidence equal deaths ÷ CFR. GBD 2023 replaces its diphtheria and pertussis estimates with the WHO count wherever the model falls below it. Two further patterns are WHO data artefacts: India's tetanus series and null-as-zero reporting.</w:t>
      </w:r>
    </w:p>
    <w:p>
      <w:pPr>
        <w:pStyle w:val="Heading2"/>
      </w:pPr>
      <w:r>
        <w:t xml:space="preserve">Summary</w:t>
      </w:r>
    </w:p>
    <w:tbl>
      <w:tblPr>
        <w:tblStyle w:val="TableGrid"/>
        <w:tblW w:w="0" w:type="auto"/>
        <w:tblLayout w:type="fixed"/>
        <w:tblLook w:val="04A0" w:firstRow="1" w:lastRow="0" w:firstColumn="0" w:lastColumn="0" w:noHBand="0" w:noVBand="1"/>
      </w:tblPr>
      <w:tblGrid>
        <w:gridCol w:w="1740"/>
        <w:gridCol w:w="1471"/>
        <w:gridCol w:w="4764"/>
        <w:gridCol w:w="1385"/>
      </w:tblGrid>
      <w:tr>
        <w:trPr>
          <w:tblHeader/>
        </w:trPr>
        <w:tc>
          <w:tcPr>
            <w:tcW w:w="1740" w:type="dxa"/>
            <w:shd w:val="clear" w:color="auto" w:fill="F2F2F2"/>
          </w:tcPr>
          <w:p>
            <w:pPr/>
            <w:r>
              <w:t xml:space="preserve">Item</w:t>
            </w:r>
          </w:p>
        </w:tc>
        <w:tc>
          <w:tcPr>
            <w:tcW w:w="1471" w:type="dxa"/>
            <w:shd w:val="clear" w:color="auto" w:fill="F2F2F2"/>
          </w:tcPr>
          <w:p>
            <w:pPr/>
            <w:r>
              <w:t xml:space="preserve">Status</w:t>
            </w:r>
          </w:p>
        </w:tc>
        <w:tc>
          <w:tcPr>
            <w:tcW w:w="4764" w:type="dxa"/>
            <w:shd w:val="clear" w:color="auto" w:fill="F2F2F2"/>
          </w:tcPr>
          <w:p>
            <w:pPr/>
            <w:r>
              <w:t xml:space="preserve">One-line answer</w:t>
            </w:r>
          </w:p>
        </w:tc>
        <w:tc>
          <w:tcPr>
            <w:tcW w:w="1385" w:type="dxa"/>
            <w:shd w:val="clear" w:color="auto" w:fill="F2F2F2"/>
          </w:tcPr>
          <w:p>
            <w:pPr/>
            <w:r>
              <w:t xml:space="preserve">Key source(s)</w:t>
            </w:r>
          </w:p>
        </w:tc>
      </w:tr>
      <w:tr>
        <w:tc>
          <w:tcPr>
            <w:tcW w:w="1740" w:type="dxa"/>
          </w:tcPr>
          <w:p>
            <w:pPr/>
            <w:r>
              <w:t xml:space="preserve">A1.1 Collection route</w:t>
            </w:r>
          </w:p>
        </w:tc>
        <w:tc>
          <w:tcPr>
            <w:tcW w:w="1471" w:type="dxa"/>
          </w:tcPr>
          <w:p>
            <w:pPr/>
            <w:r>
              <w:t xml:space="preserve">Explained</w:t>
            </w:r>
          </w:p>
        </w:tc>
        <w:tc>
          <w:tcPr>
            <w:tcW w:w="4764" w:type="dxa"/>
          </w:tcPr>
          <w:p>
            <w:pPr/>
            <w:r>
              <w:t xml:space="preserve">Annual national aggregates via eJRF (since 1998; electronic since 2021), released each July; countries can revise any year</w:t>
            </w:r>
          </w:p>
        </w:tc>
        <w:tc>
          <w:tcPr>
            <w:tcW w:w="1385" w:type="dxa"/>
          </w:tcPr>
          <w:p>
            <w:pPr/>
            <w:hyperlink r:id="rId3" w:history="1">
              <w:r>
                <w:rPr>
                  <w:rStyle w:val="Hyperlink"/>
                </w:rPr>
                <w:t xml:space="preserve">WHO JRF page</w:t>
              </w:r>
            </w:hyperlink>
          </w:p>
        </w:tc>
      </w:tr>
      <w:tr>
        <w:tc>
          <w:tcPr>
            <w:tcW w:w="1740" w:type="dxa"/>
          </w:tcPr>
          <w:p>
            <w:pPr/>
            <w:r>
              <w:t xml:space="preserve">A1.2 Case definitions</w:t>
            </w:r>
          </w:p>
        </w:tc>
        <w:tc>
          <w:tcPr>
            <w:tcW w:w="1471" w:type="dxa"/>
          </w:tcPr>
          <w:p>
            <w:pPr/>
            <w:r>
              <w:t xml:space="preserve">Explained (start year of total tetanus: not found)</w:t>
            </w:r>
          </w:p>
        </w:tc>
        <w:tc>
          <w:tcPr>
            <w:tcW w:w="4764" w:type="dxa"/>
          </w:tcPr>
          <w:p>
            <w:pPr/>
            <w:r>
              <w:t xml:space="preserve">Clinical cases count for all four. Minimum standards differ: pertussis sentinel, non-neonatal tetanus aggregate</w:t>
            </w:r>
          </w:p>
        </w:tc>
        <w:tc>
          <w:tcPr>
            <w:tcW w:w="1385" w:type="dxa"/>
          </w:tcPr>
          <w:p>
            <w:pPr/>
            <w:hyperlink r:id="rId4" w:history="1">
              <w:r>
                <w:rPr>
                  <w:rStyle w:val="Hyperlink"/>
                </w:rPr>
                <w:t xml:space="preserve">WHO VPD standards 2018</w:t>
              </w:r>
            </w:hyperlink>
          </w:p>
        </w:tc>
      </w:tr>
      <w:tr>
        <w:tc>
          <w:tcPr>
            <w:tcW w:w="1740" w:type="dxa"/>
          </w:tcPr>
          <w:p>
            <w:pPr/>
            <w:r>
              <w:t xml:space="preserve">A1.3 Zero vs blank</w:t>
            </w:r>
          </w:p>
        </w:tc>
        <w:tc>
          <w:tcPr>
            <w:tcW w:w="1471" w:type="dxa"/>
          </w:tcPr>
          <w:p>
            <w:pPr/>
            <w:r>
              <w:t xml:space="preserve">Explained (by data inspection)</w:t>
            </w:r>
          </w:p>
        </w:tc>
        <w:tc>
          <w:tcPr>
            <w:tcW w:w="4764" w:type="dxa"/>
          </w:tcPr>
          <w:p>
            <w:pPr/>
            <w:r>
              <w:t xml:space="preserve">GHO API stores missing reports as null and zero as 0; revisions are allowed, with no version log</w:t>
            </w:r>
          </w:p>
        </w:tc>
        <w:tc>
          <w:tcPr>
            <w:tcW w:w="1385" w:type="dxa"/>
          </w:tcPr>
          <w:p>
            <w:pPr/>
            <w:hyperlink r:id="rId5" w:history="1">
              <w:r>
                <w:rPr>
                  <w:rStyle w:val="Hyperlink"/>
                </w:rPr>
                <w:t xml:space="preserve">GHO API</w:t>
              </w:r>
            </w:hyperlink>
          </w:p>
        </w:tc>
      </w:tr>
      <w:tr>
        <w:tc>
          <w:tcPr>
            <w:tcW w:w="1740" w:type="dxa"/>
          </w:tcPr>
          <w:p>
            <w:pPr/>
            <w:r>
              <w:t xml:space="preserve">A1.4 Completeness</w:t>
            </w:r>
          </w:p>
        </w:tc>
        <w:tc>
          <w:tcPr>
            <w:tcW w:w="1471" w:type="dxa"/>
          </w:tcPr>
          <w:p>
            <w:pPr/>
            <w:r>
              <w:t xml:space="preserve">Explained</w:t>
            </w:r>
          </w:p>
        </w:tc>
        <w:tc>
          <w:tcPr>
            <w:tcW w:w="4764" w:type="dxa"/>
          </w:tcPr>
          <w:p>
            <w:pPr/>
            <w:r>
              <w:t xml:space="preserve">WHO calls diphtheria and tetanus counts underestimates and pertussis data in developing countries "less robust"</w:t>
            </w:r>
          </w:p>
        </w:tc>
        <w:tc>
          <w:tcPr>
            <w:tcW w:w="1385" w:type="dxa"/>
          </w:tcPr>
          <w:p>
            <w:pPr/>
            <w:r>
              <w:t xml:space="preserve">WHO standards</w:t>
            </w:r>
          </w:p>
        </w:tc>
      </w:tr>
      <w:tr>
        <w:tc>
          <w:tcPr>
            <w:tcW w:w="1740" w:type="dxa"/>
          </w:tcPr>
          <w:p>
            <w:pPr/>
            <w:r>
              <w:t xml:space="preserve">A2.5 GBD inputs</w:t>
            </w:r>
          </w:p>
        </w:tc>
        <w:tc>
          <w:tcPr>
            <w:tcW w:w="1471" w:type="dxa"/>
          </w:tcPr>
          <w:p>
            <w:pPr/>
            <w:r>
              <w:t xml:space="preserve">Explained</w:t>
            </w:r>
          </w:p>
        </w:tc>
        <w:tc>
          <w:tcPr>
            <w:tcW w:w="4764" w:type="dxa"/>
          </w:tcPr>
          <w:p>
            <w:pPr/>
            <w:r>
              <w:t xml:space="preserve">Pertussis: JRF regression with Switzerland random effect. Diphtheria and tetanus: deaths ÷ CFR. DTP3 is a covariate in all three</w:t>
            </w:r>
          </w:p>
        </w:tc>
        <w:tc>
          <w:tcPr>
            <w:tcW w:w="1385" w:type="dxa"/>
          </w:tcPr>
          <w:p>
            <w:pPr/>
            <w:r>
              <w:t xml:space="preserve">GBD 2023 appendices</w:t>
            </w:r>
          </w:p>
        </w:tc>
      </w:tr>
      <w:tr>
        <w:tc>
          <w:tcPr>
            <w:tcW w:w="1740" w:type="dxa"/>
          </w:tcPr>
          <w:p>
            <w:pPr/>
            <w:r>
              <w:t xml:space="preserve">A2.6 Tetanus definition</w:t>
            </w:r>
          </w:p>
        </w:tc>
        <w:tc>
          <w:tcPr>
            <w:tcW w:w="1471" w:type="dxa"/>
          </w:tcPr>
          <w:p>
            <w:pPr/>
            <w:r>
              <w:t xml:space="preserve">Explained</w:t>
            </w:r>
          </w:p>
        </w:tc>
        <w:tc>
          <w:tcPr>
            <w:tcW w:w="4764" w:type="dxa"/>
          </w:tcPr>
          <w:p>
            <w:pPr/>
            <w:r>
              <w:t xml:space="preserve">GBD tetanus = A33–A35 incl. neonatal, death-derived. Same concept as WHO total, different source</w:t>
            </w:r>
          </w:p>
        </w:tc>
        <w:tc>
          <w:tcPr>
            <w:tcW w:w="1385" w:type="dxa"/>
          </w:tcPr>
          <w:p>
            <w:pPr/>
            <w:r>
              <w:t xml:space="preserve">GBD 2023 nonfatal appendix</w:t>
            </w:r>
          </w:p>
        </w:tc>
      </w:tr>
      <w:tr>
        <w:tc>
          <w:tcPr>
            <w:tcW w:w="1740" w:type="dxa"/>
          </w:tcPr>
          <w:p>
            <w:pPr/>
            <w:r>
              <w:t xml:space="preserve">A2.7 COVID-19 pertussis</w:t>
            </w:r>
          </w:p>
        </w:tc>
        <w:tc>
          <w:tcPr>
            <w:tcW w:w="1471" w:type="dxa"/>
          </w:tcPr>
          <w:p>
            <w:pPr/>
            <w:r>
              <w:t xml:space="preserve">Explained</w:t>
            </w:r>
          </w:p>
        </w:tc>
        <w:tc>
          <w:tcPr>
            <w:tcW w:w="4764" w:type="dxa"/>
          </w:tcPr>
          <w:p>
            <w:pPr/>
            <w:r>
              <w:t xml:space="preserve">Dip driven by a mask-use covariate plus COVID-inclusive DTP3; not notifications or mobility</w:t>
            </w:r>
          </w:p>
        </w:tc>
        <w:tc>
          <w:tcPr>
            <w:tcW w:w="1385" w:type="dxa"/>
          </w:tcPr>
          <w:p>
            <w:pPr/>
            <w:r>
              <w:t xml:space="preserve">GBD 2023 appendix; </w:t>
            </w:r>
            <w:hyperlink r:id="rId6" w:history="1">
              <w:r>
                <w:rPr>
                  <w:rStyle w:val="Hyperlink"/>
                </w:rPr>
                <w:t xml:space="preserve">Nat Med 2026</w:t>
              </w:r>
            </w:hyperlink>
          </w:p>
        </w:tc>
      </w:tr>
      <w:tr>
        <w:tc>
          <w:tcPr>
            <w:tcW w:w="1740" w:type="dxa"/>
          </w:tcPr>
          <w:p>
            <w:pPr/>
            <w:r>
              <w:t xml:space="preserve">A2.8 Notifications as given</w:t>
            </w:r>
          </w:p>
        </w:tc>
        <w:tc>
          <w:tcPr>
            <w:tcW w:w="1471" w:type="dxa"/>
          </w:tcPr>
          <w:p>
            <w:pPr/>
            <w:r>
              <w:t xml:space="preserve">Explained</w:t>
            </w:r>
          </w:p>
        </w:tc>
        <w:tc>
          <w:tcPr>
            <w:tcW w:w="4764" w:type="dxa"/>
          </w:tcPr>
          <w:p>
            <w:pPr/>
            <w:r>
              <w:t xml:space="preserve">New in GBD 2023: floor at JRF count for pertussis (60 location-years) and diphtheria; not tetanus</w:t>
            </w:r>
          </w:p>
        </w:tc>
        <w:tc>
          <w:tcPr>
            <w:tcW w:w="1385" w:type="dxa"/>
          </w:tcPr>
          <w:p>
            <w:pPr/>
            <w:r>
              <w:t xml:space="preserve">GBD 2023 appendix; Nat Med 2026</w:t>
            </w:r>
          </w:p>
        </w:tc>
      </w:tr>
      <w:tr>
        <w:tc>
          <w:tcPr>
            <w:tcW w:w="1740" w:type="dxa"/>
          </w:tcPr>
          <w:p>
            <w:pPr/>
            <w:r>
              <w:t xml:space="preserve">B1 Pertussis under-reporting</w:t>
            </w:r>
          </w:p>
        </w:tc>
        <w:tc>
          <w:tcPr>
            <w:tcW w:w="1471" w:type="dxa"/>
          </w:tcPr>
          <w:p>
            <w:pPr/>
            <w:r>
              <w:t xml:space="preserve">Explained</w:t>
            </w:r>
          </w:p>
        </w:tc>
        <w:tc>
          <w:tcPr>
            <w:tcW w:w="4764" w:type="dxa"/>
          </w:tcPr>
          <w:p>
            <w:pPr/>
            <w:r>
              <w:t xml:space="preserve">Level set by the Switzerland reference random effect. Published clinical multipliers 3–33× vs GBD-implied about 170×</w:t>
            </w:r>
          </w:p>
        </w:tc>
        <w:tc>
          <w:tcPr>
            <w:tcW w:w="1385" w:type="dxa"/>
          </w:tcPr>
          <w:p>
            <w:pPr/>
            <w:r>
              <w:t xml:space="preserve">Nat Med 2026; </w:t>
            </w:r>
            <w:hyperlink r:id="rId7" w:history="1">
              <w:r>
                <w:rPr>
                  <w:rStyle w:val="Hyperlink"/>
                </w:rPr>
                <w:t xml:space="preserve">Dai 2024</w:t>
              </w:r>
            </w:hyperlink>
            <w:r>
              <w:t xml:space="preserve">; </w:t>
            </w:r>
            <w:hyperlink r:id="rId8" w:history="1">
              <w:r>
                <w:rPr>
                  <w:rStyle w:val="Hyperlink"/>
                </w:rPr>
                <w:t xml:space="preserve">Sutter 1992</w:t>
              </w:r>
            </w:hyperlink>
          </w:p>
        </w:tc>
      </w:tr>
      <w:tr>
        <w:tc>
          <w:tcPr>
            <w:tcW w:w="1740" w:type="dxa"/>
          </w:tcPr>
          <w:p>
            <w:pPr/>
            <w:r>
              <w:t xml:space="preserve">B2 Tetanus reports exceed GBD</w:t>
            </w:r>
          </w:p>
        </w:tc>
        <w:tc>
          <w:tcPr>
            <w:tcW w:w="1471" w:type="dxa"/>
          </w:tcPr>
          <w:p>
            <w:pPr/>
            <w:r>
              <w:t xml:space="preserve">Plausible mechanism</w:t>
            </w:r>
          </w:p>
        </w:tc>
        <w:tc>
          <w:tcPr>
            <w:tcW w:w="4764" w:type="dxa"/>
          </w:tcPr>
          <w:p>
            <w:pPr/>
            <w:r>
              <w:t xml:space="preserve">Incidence = deaths ÷ CFR with no notification floor; CFRs raised in GBD 2023</w:t>
            </w:r>
          </w:p>
        </w:tc>
        <w:tc>
          <w:tcPr>
            <w:tcW w:w="1385" w:type="dxa"/>
          </w:tcPr>
          <w:p>
            <w:pPr/>
            <w:r>
              <w:t xml:space="preserve">GBD 2023 appendix</w:t>
            </w:r>
          </w:p>
        </w:tc>
      </w:tr>
      <w:tr>
        <w:tc>
          <w:tcPr>
            <w:tcW w:w="1740" w:type="dxa"/>
          </w:tcPr>
          <w:p>
            <w:pPr/>
            <w:r>
              <w:t xml:space="preserve">B3 Diphtheria matches</w:t>
            </w:r>
          </w:p>
        </w:tc>
        <w:tc>
          <w:tcPr>
            <w:tcW w:w="1471" w:type="dxa"/>
          </w:tcPr>
          <w:p>
            <w:pPr/>
            <w:r>
              <w:t xml:space="preserve">Explained</w:t>
            </w:r>
          </w:p>
        </w:tc>
        <w:tc>
          <w:tcPr>
            <w:tcW w:w="4764" w:type="dxa"/>
          </w:tcPr>
          <w:p>
            <w:pPr/>
            <w:r>
              <w:t xml:space="preserve">GBD 2023 notification floor. Yemen, Nigeria and Switzerland outbreaks documented; Ethiopia and Laos not found</w:t>
            </w:r>
          </w:p>
        </w:tc>
        <w:tc>
          <w:tcPr>
            <w:tcW w:w="1385" w:type="dxa"/>
          </w:tcPr>
          <w:p>
            <w:pPr/>
            <w:r>
              <w:t xml:space="preserve">GBD appendix; </w:t>
            </w:r>
            <w:hyperlink r:id="rId9" w:history="1">
              <w:r>
                <w:rPr>
                  <w:rStyle w:val="Hyperlink"/>
                </w:rPr>
                <w:t xml:space="preserve">EMRO</w:t>
              </w:r>
            </w:hyperlink>
            <w:r>
              <w:t xml:space="preserve">; </w:t>
            </w:r>
            <w:hyperlink r:id="rId10" w:history="1">
              <w:r>
                <w:rPr>
                  <w:rStyle w:val="Hyperlink"/>
                </w:rPr>
                <w:t xml:space="preserve">PAMJ 2025</w:t>
              </w:r>
            </w:hyperlink>
          </w:p>
        </w:tc>
      </w:tr>
      <w:tr>
        <w:tc>
          <w:tcPr>
            <w:tcW w:w="1740" w:type="dxa"/>
          </w:tcPr>
          <w:p>
            <w:pPr/>
            <w:r>
              <w:t xml:space="preserve">B4 India and Pakistan breaks</w:t>
            </w:r>
          </w:p>
        </w:tc>
        <w:tc>
          <w:tcPr>
            <w:tcW w:w="1471" w:type="dxa"/>
          </w:tcPr>
          <w:p>
            <w:pPr/>
            <w:r>
              <w:t xml:space="preserve">Data artefact (India), not found (Pakistan)</w:t>
            </w:r>
          </w:p>
        </w:tc>
        <w:tc>
          <w:tcPr>
            <w:tcW w:w="4764" w:type="dxa"/>
          </w:tcPr>
          <w:p>
            <w:pPr/>
            <w:r>
              <w:t xml:space="preserve">India's total tetanus equals neonatal tetanus from 2022. Pakistan's collapse starts in 1989</w:t>
            </w:r>
          </w:p>
        </w:tc>
        <w:tc>
          <w:tcPr>
            <w:tcW w:w="1385" w:type="dxa"/>
          </w:tcPr>
          <w:p>
            <w:pPr/>
            <w:hyperlink r:id="rId11" w:history="1">
              <w:r>
                <w:rPr>
                  <w:rStyle w:val="Hyperlink"/>
                </w:rPr>
                <w:t xml:space="preserve">GHO API</w:t>
              </w:r>
            </w:hyperlink>
          </w:p>
        </w:tc>
      </w:tr>
      <w:tr>
        <w:tc>
          <w:tcPr>
            <w:tcW w:w="1740" w:type="dxa"/>
          </w:tcPr>
          <w:p>
            <w:pPr/>
            <w:r>
              <w:t xml:space="preserve">B5 China pertussis</w:t>
            </w:r>
          </w:p>
        </w:tc>
        <w:tc>
          <w:tcPr>
            <w:tcW w:w="1471" w:type="dxa"/>
          </w:tcPr>
          <w:p>
            <w:pPr/>
            <w:r>
              <w:t xml:space="preserve">Explained</w:t>
            </w:r>
          </w:p>
        </w:tc>
        <w:tc>
          <w:tcPr>
            <w:tcW w:w="4764" w:type="dxa"/>
          </w:tcPr>
          <w:p>
            <w:pPr/>
            <w:r>
              <w:t xml:space="preserve">PCR added 2017, new criteria in 2024 (26.5× jump in Chongqing), plus genuine resurgence and macrolide resistance</w:t>
            </w:r>
          </w:p>
        </w:tc>
        <w:tc>
          <w:tcPr>
            <w:tcW w:w="1385" w:type="dxa"/>
          </w:tcPr>
          <w:p>
            <w:pPr/>
            <w:hyperlink r:id="rId12" w:history="1">
              <w:r>
                <w:rPr>
                  <w:rStyle w:val="Hyperlink"/>
                </w:rPr>
                <w:t xml:space="preserve">Chongqing 2025</w:t>
              </w:r>
            </w:hyperlink>
          </w:p>
        </w:tc>
      </w:tr>
      <w:tr>
        <w:tc>
          <w:tcPr>
            <w:tcW w:w="1740" w:type="dxa"/>
          </w:tcPr>
          <w:p>
            <w:pPr/>
            <w:r>
              <w:t xml:space="preserve">B6 Brazil pertussis</w:t>
            </w:r>
          </w:p>
        </w:tc>
        <w:tc>
          <w:tcPr>
            <w:tcW w:w="1471" w:type="dxa"/>
          </w:tcPr>
          <w:p>
            <w:pPr/>
            <w:r>
              <w:t xml:space="preserve">Partly documented</w:t>
            </w:r>
          </w:p>
        </w:tc>
        <w:tc>
          <w:tcPr>
            <w:tcW w:w="4764" w:type="dxa"/>
          </w:tcPr>
          <w:p>
            <w:pPr/>
            <w:r>
              <w:t xml:space="preserve">Post-2014 decline linked to cyclicity and maternal dTpa. GBD rise fits DTP3 falling from 93% to 68%</w:t>
            </w:r>
          </w:p>
        </w:tc>
        <w:tc>
          <w:tcPr>
            <w:tcW w:w="1385" w:type="dxa"/>
          </w:tcPr>
          <w:p>
            <w:pPr/>
            <w:hyperlink r:id="rId13" w:history="1">
              <w:r>
                <w:rPr>
                  <w:rStyle w:val="Hyperlink"/>
                </w:rPr>
                <w:t xml:space="preserve">Barros 2019</w:t>
              </w:r>
            </w:hyperlink>
            <w:r>
              <w:t xml:space="preserve">; GHO</w:t>
            </w:r>
          </w:p>
        </w:tc>
      </w:tr>
      <w:tr>
        <w:tc>
          <w:tcPr>
            <w:tcW w:w="1740" w:type="dxa"/>
          </w:tcPr>
          <w:p>
            <w:pPr/>
            <w:r>
              <w:t xml:space="preserve">B7 Global pertussis 2020–24</w:t>
            </w:r>
          </w:p>
        </w:tc>
        <w:tc>
          <w:tcPr>
            <w:tcW w:w="1471" w:type="dxa"/>
          </w:tcPr>
          <w:p>
            <w:pPr/>
            <w:r>
              <w:t xml:space="preserve">Explained</w:t>
            </w:r>
          </w:p>
        </w:tc>
        <w:tc>
          <w:tcPr>
            <w:tcW w:w="4764" w:type="dxa"/>
          </w:tcPr>
          <w:p>
            <w:pPr/>
            <w:r>
              <w:t xml:space="preserve">2024 surge: post-COVID immunity gap plus PCR testing. GBD dip: mask covariate</w:t>
            </w:r>
          </w:p>
        </w:tc>
        <w:tc>
          <w:tcPr>
            <w:tcW w:w="1385" w:type="dxa"/>
          </w:tcPr>
          <w:p>
            <w:pPr/>
            <w:hyperlink r:id="rId14" w:history="1">
              <w:r>
                <w:rPr>
                  <w:rStyle w:val="Hyperlink"/>
                </w:rPr>
                <w:t xml:space="preserve">ECDC 2024</w:t>
              </w:r>
            </w:hyperlink>
            <w:r>
              <w:t xml:space="preserve">; Nat Med 2026</w:t>
            </w:r>
          </w:p>
        </w:tc>
      </w:tr>
      <w:tr>
        <w:tc>
          <w:tcPr>
            <w:tcW w:w="1740" w:type="dxa"/>
          </w:tcPr>
          <w:p>
            <w:pPr/>
            <w:r>
              <w:t xml:space="preserve">B8 Diphtheria resurgence</w:t>
            </w:r>
          </w:p>
        </w:tc>
        <w:tc>
          <w:tcPr>
            <w:tcW w:w="1471" w:type="dxa"/>
          </w:tcPr>
          <w:p>
            <w:pPr/>
            <w:r>
              <w:t xml:space="preserve">Partly documented</w:t>
            </w:r>
          </w:p>
        </w:tc>
        <w:tc>
          <w:tcPr>
            <w:tcW w:w="4764" w:type="dxa"/>
          </w:tcPr>
          <w:p>
            <w:pPr/>
            <w:r>
              <w:t xml:space="preserve">2023–25 driven by Nigeria, Niger, Guinea, Somalia and India; 2018–19 by India, Ethiopia and Yemen</w:t>
            </w:r>
          </w:p>
        </w:tc>
        <w:tc>
          <w:tcPr>
            <w:tcW w:w="1385" w:type="dxa"/>
          </w:tcPr>
          <w:p>
            <w:pPr/>
            <w:r>
              <w:t xml:space="preserve">GHO; PAMJ 2025</w:t>
            </w:r>
          </w:p>
        </w:tc>
      </w:tr>
      <w:tr>
        <w:tc>
          <w:tcPr>
            <w:tcW w:w="1740" w:type="dxa"/>
          </w:tcPr>
          <w:p>
            <w:pPr/>
            <w:r>
              <w:t xml:space="preserve">B9 Year-to-year disconnect</w:t>
            </w:r>
          </w:p>
        </w:tc>
        <w:tc>
          <w:tcPr>
            <w:tcW w:w="1471" w:type="dxa"/>
          </w:tcPr>
          <w:p>
            <w:pPr/>
            <w:r>
              <w:t xml:space="preserve">Partly documented</w:t>
            </w:r>
          </w:p>
        </w:tc>
        <w:tc>
          <w:tcPr>
            <w:tcW w:w="4764" w:type="dxa"/>
          </w:tcPr>
          <w:p>
            <w:pPr/>
            <w:r>
              <w:t xml:space="preserve">GBD notes low concordance (r = −0.10). Smoothness is inherent to the model structure</w:t>
            </w:r>
          </w:p>
        </w:tc>
        <w:tc>
          <w:tcPr>
            <w:tcW w:w="1385" w:type="dxa"/>
          </w:tcPr>
          <w:p>
            <w:pPr/>
            <w:r>
              <w:t xml:space="preserve">Nat Med 2026; </w:t>
            </w:r>
            <w:hyperlink r:id="rId15" w:history="1">
              <w:r>
                <w:rPr>
                  <w:rStyle w:val="Hyperlink"/>
                </w:rPr>
                <w:t xml:space="preserve">npj Vaccines 2026</w:t>
              </w:r>
            </w:hyperlink>
          </w:p>
        </w:tc>
      </w:tr>
      <w:tr>
        <w:tc>
          <w:tcPr>
            <w:tcW w:w="1740" w:type="dxa"/>
          </w:tcPr>
          <w:p>
            <w:pPr/>
            <w:r>
              <w:t xml:space="preserve">B10 DTP3 and reporting rate</w:t>
            </w:r>
          </w:p>
        </w:tc>
        <w:tc>
          <w:tcPr>
            <w:tcW w:w="1471" w:type="dxa"/>
          </w:tcPr>
          <w:p>
            <w:pPr/>
            <w:r>
              <w:t xml:space="preserve">Plausible mechanism</w:t>
            </w:r>
          </w:p>
        </w:tc>
        <w:tc>
          <w:tcPr>
            <w:tcW w:w="4764" w:type="dxa"/>
          </w:tcPr>
          <w:p>
            <w:pPr/>
            <w:r>
              <w:t xml:space="preserve">The cross-country link is partly built into GBD's DTP3 covariate; surveillance sensitivity tracks income</w:t>
            </w:r>
          </w:p>
        </w:tc>
        <w:tc>
          <w:tcPr>
            <w:tcW w:w="1385" w:type="dxa"/>
          </w:tcPr>
          <w:p>
            <w:pPr/>
            <w:r>
              <w:t xml:space="preserve">npj Vaccines 2026; Chongqing 2025</w:t>
            </w:r>
          </w:p>
        </w:tc>
      </w:tr>
      <w:tr>
        <w:tc>
          <w:tcPr>
            <w:tcW w:w="1740" w:type="dxa"/>
          </w:tcPr>
          <w:p>
            <w:pPr/>
            <w:r>
              <w:t xml:space="preserve">B11 Persistent zeros</w:t>
            </w:r>
          </w:p>
        </w:tc>
        <w:tc>
          <w:tcPr>
            <w:tcW w:w="1471" w:type="dxa"/>
          </w:tcPr>
          <w:p>
            <w:pPr/>
            <w:r>
              <w:t xml:space="preserve">Data artefact (mostly)</w:t>
            </w:r>
          </w:p>
        </w:tc>
        <w:tc>
          <w:tcPr>
            <w:tcW w:w="4764" w:type="dxa"/>
          </w:tcPr>
          <w:p>
            <w:pPr/>
            <w:r>
              <w:t xml:space="preserve">Several example zeros are nulls in the GHO; sentinel pertussis surveillance can't support true zeros</w:t>
            </w:r>
          </w:p>
        </w:tc>
        <w:tc>
          <w:tcPr>
            <w:tcW w:w="1385" w:type="dxa"/>
          </w:tcPr>
          <w:p>
            <w:pPr/>
            <w:r>
              <w:t xml:space="preserve">GHO API; WHO pertussis standard</w:t>
            </w:r>
          </w:p>
        </w:tc>
      </w:tr>
      <w:tr>
        <w:tc>
          <w:tcPr>
            <w:tcW w:w="1740" w:type="dxa"/>
          </w:tcPr>
          <w:p>
            <w:pPr/>
            <w:r>
              <w:t xml:space="preserve">C12 Prior comparisons</w:t>
            </w:r>
          </w:p>
        </w:tc>
        <w:tc>
          <w:tcPr>
            <w:tcW w:w="1471" w:type="dxa"/>
          </w:tcPr>
          <w:p>
            <w:pPr/>
            <w:r>
              <w:t xml:space="preserve">Found (pertussis only)</w:t>
            </w:r>
          </w:p>
        </w:tc>
        <w:tc>
          <w:tcPr>
            <w:tcW w:w="4764" w:type="dxa"/>
          </w:tcPr>
          <w:p>
            <w:pPr/>
            <w:r>
              <w:t xml:space="preserve">Two 2026 pertussis comparisons. The EPI 50-year analysis used GBD 2021 for DTP; VIMC DTP not found</w:t>
            </w:r>
          </w:p>
        </w:tc>
        <w:tc>
          <w:tcPr>
            <w:tcW w:w="1385" w:type="dxa"/>
          </w:tcPr>
          <w:p>
            <w:pPr/>
            <w:r>
              <w:t xml:space="preserve">Nat Med 2026; npj Vaccines 2026; </w:t>
            </w:r>
            <w:hyperlink r:id="rId16" w:history="1">
              <w:r>
                <w:rPr>
                  <w:rStyle w:val="Hyperlink"/>
                </w:rPr>
                <w:t xml:space="preserve">Shattock 2024</w:t>
              </w:r>
            </w:hyperlink>
          </w:p>
        </w:tc>
      </w:tr>
      <w:tr>
        <w:tc>
          <w:tcPr>
            <w:tcW w:w="1740" w:type="dxa"/>
          </w:tcPr>
          <w:p>
            <w:pPr/>
            <w:r>
              <w:t xml:space="preserve">C13 Reconciliation commentary</w:t>
            </w:r>
          </w:p>
        </w:tc>
        <w:tc>
          <w:tcPr>
            <w:tcW w:w="1471" w:type="dxa"/>
          </w:tcPr>
          <w:p>
            <w:pPr/>
            <w:r>
              <w:t xml:space="preserve">Partly found</w:t>
            </w:r>
          </w:p>
        </w:tc>
        <w:tc>
          <w:tcPr>
            <w:tcW w:w="4764" w:type="dxa"/>
          </w:tcPr>
          <w:p>
            <w:pPr/>
            <w:r>
              <w:t xml:space="preserve">IHME: JRF is not a validation target. No diphtheria or tetanus reconciliation found</w:t>
            </w:r>
          </w:p>
        </w:tc>
        <w:tc>
          <w:tcPr>
            <w:tcW w:w="1385" w:type="dxa"/>
          </w:tcPr>
          <w:p>
            <w:pPr/>
            <w:r>
              <w:t xml:space="preserve">Nat Med 2026</w:t>
            </w:r>
          </w:p>
        </w:tc>
      </w:tr>
    </w:tbl>
    <w:p>
      <w:pPr>
        <w:pStyle w:val="Heading2"/>
      </w:pPr>
      <w:r>
        <w:t xml:space="preserve">Part A1: How WHO reported cases are produced</w:t>
      </w:r>
    </w:p>
    <w:p>
      <w:pPr/>
      <w:r>
        <w:t xml:space="preserve">WHO case counts are national aggregate totals that each country's immunization programme types into the annual WHO/UNICEF electronic Joint Reporting Form (eJRF). WHO does not adjust them for completeness, and countries can revise past years at any time.</w:t>
      </w:r>
    </w:p>
    <w:p>
      <w:pPr>
        <w:pStyle w:val="Heading3"/>
      </w:pPr>
      <w:r>
        <w:t xml:space="preserve">A1.1 Collection route</w:t>
      </w:r>
    </w:p>
    <w:p>
      <w:pPr>
        <w:pStyle w:val="ListParagraph"/>
        <w:numPr>
          <w:ilvl w:val="0"/>
          <w:numId w:val="2"/>
        </w:numPr>
      </w:pPr>
      <w:r>
        <w:rPr>
          <w:b/>
        </w:rPr>
        <w:t xml:space="preserve">What and who.</w:t>
      </w:r>
      <w:r>
        <w:t xml:space="preserve"> WHO and UNICEF have jointly collected immunization data "through a standard questionnaire (the Joint Reporting Form) sent to all Member States" since 1998. In 2021 this became the cloud-based eJRF. It "is completed by national immunization programme staff and in collaboration with WHO and UNICEF country office counterparts" (</w:t>
      </w:r>
      <w:hyperlink r:id="rId3" w:history="1">
        <w:r>
          <w:rPr>
            <w:rStyle w:val="Hyperlink"/>
          </w:rPr>
          <w:t xml:space="preserve">WHO/UNICEF joint reporting process</w:t>
        </w:r>
      </w:hyperlink>
      <w:r>
        <w:t xml:space="preserve">).</w:t>
      </w:r>
    </w:p>
    <w:p>
      <w:pPr>
        <w:pStyle w:val="ListParagraph"/>
        <w:numPr>
          <w:ilvl w:val="0"/>
          <w:numId w:val="2"/>
        </w:numPr>
      </w:pPr>
      <w:r>
        <w:rPr>
          <w:b/>
        </w:rPr>
        <w:t xml:space="preserve">How often.</w:t>
      </w:r>
      <w:r>
        <w:t xml:space="preserve"> Data are annual, for the calendar year (January–December), "and countries may update prior years' data at any time" (same page).</w:t>
      </w:r>
    </w:p>
    <w:p>
      <w:pPr>
        <w:pStyle w:val="ListParagraph"/>
        <w:numPr>
          <w:ilvl w:val="0"/>
          <w:numId w:val="2"/>
        </w:numPr>
      </w:pPr>
      <w:r>
        <w:rPr>
          <w:b/>
        </w:rPr>
        <w:t xml:space="preserve">Publication.</w:t>
      </w:r>
      <w:r>
        <w:t xml:space="preserve"> The portal pages for each disease say counts "are collected annually through the WHO/UNICEF Joint Reporting Form" and that "Global and regional aggregate data are released annually in July and updated thereafter as country data are received" (</w:t>
      </w:r>
      <w:hyperlink r:id="rId17" w:history="1">
        <w:r>
          <w:rPr>
            <w:rStyle w:val="Hyperlink"/>
          </w:rPr>
          <w:t xml:space="preserve">tetanus page</w:t>
        </w:r>
      </w:hyperlink>
      <w:r>
        <w:t xml:space="preserve">; </w:t>
      </w:r>
      <w:hyperlink r:id="rId18" w:history="1">
        <w:r>
          <w:rPr>
            <w:rStyle w:val="Hyperlink"/>
          </w:rPr>
          <w:t xml:space="preserve">pertussis page</w:t>
        </w:r>
      </w:hyperlink>
      <w:r>
        <w:t xml:space="preserve">).</w:t>
      </w:r>
    </w:p>
    <w:p>
      <w:pPr>
        <w:pStyle w:val="ListParagraph"/>
        <w:numPr>
          <w:ilvl w:val="0"/>
          <w:numId w:val="2"/>
        </w:numPr>
      </w:pPr>
      <w:r>
        <w:rPr>
          <w:b/>
        </w:rPr>
        <w:t xml:space="preserve">Link to the GHO.</w:t>
      </w:r>
      <w:r>
        <w:t xml:space="preserve"> None of the WHO pages I read describes how GHO indicators WHS3_41/43/46/56 are populated. In practice they carry the same JRF series. The GHO API rows for India's WHS3_46 carry different </w:t>
      </w:r>
      <w:r>
        <w:rPr>
          <w:rStyle w:val="CodeChar"/>
        </w:rPr>
        <w:t xml:space="preserve">Date</w:t>
      </w:r>
      <w:r>
        <w:t xml:space="preserve"> stamps: 2025-07-14 for most years and 2026-07-14 for the 1995, 1996 and 2025 rows. That fits rows being republished at each July release. This is my reading of the </w:t>
      </w:r>
      <w:hyperlink r:id="rId11" w:history="1">
        <w:r>
          <w:rPr>
            <w:rStyle w:val="Hyperlink"/>
          </w:rPr>
          <w:t xml:space="preserve">GHO API</w:t>
        </w:r>
      </w:hyperlink>
      <w:r>
        <w:t xml:space="preserve">, not a documented rule.</w:t>
      </w:r>
    </w:p>
    <w:p>
      <w:pPr>
        <w:pStyle w:val="ListParagraph"/>
        <w:numPr>
          <w:ilvl w:val="0"/>
          <w:numId w:val="2"/>
        </w:numPr>
      </w:pPr>
      <w:r>
        <w:rPr>
          <w:b/>
        </w:rPr>
        <w:t xml:space="preserve">Pre-1998 years.</w:t>
      </w:r>
      <w:r>
        <w:t xml:space="preserve"> The GHO has values before the JRF existed; India's WHS3_46 starts in 1974. WHO does not document where those early values came from (status: not found).</w:t>
      </w:r>
    </w:p>
    <w:p>
      <w:pPr>
        <w:pStyle w:val="Heading3"/>
      </w:pPr>
      <w:r>
        <w:t xml:space="preserve">A1.2 Case definitions (WHO surveillance standards, 2018)</w:t>
      </w:r>
    </w:p>
    <w:tbl>
      <w:tblPr>
        <w:tblStyle w:val="TableGrid"/>
        <w:tblW w:w="0" w:type="auto"/>
        <w:tblLayout w:type="fixed"/>
        <w:tblLook w:val="04A0" w:firstRow="1" w:lastRow="0" w:firstColumn="0" w:lastColumn="0" w:noHBand="0" w:noVBand="1"/>
      </w:tblPr>
      <w:tblGrid>
        <w:gridCol w:w="1305"/>
        <w:gridCol w:w="2911"/>
        <w:gridCol w:w="3594"/>
        <w:gridCol w:w="1550"/>
      </w:tblGrid>
      <w:tr>
        <w:trPr>
          <w:tblHeader/>
        </w:trPr>
        <w:tc>
          <w:tcPr>
            <w:tcW w:w="1305" w:type="dxa"/>
            <w:shd w:val="clear" w:color="auto" w:fill="F2F2F2"/>
          </w:tcPr>
          <w:p>
            <w:pPr/>
            <w:r>
              <w:t xml:space="preserve">Disease</w:t>
            </w:r>
          </w:p>
        </w:tc>
        <w:tc>
          <w:tcPr>
            <w:tcW w:w="2911" w:type="dxa"/>
            <w:shd w:val="clear" w:color="auto" w:fill="F2F2F2"/>
          </w:tcPr>
          <w:p>
            <w:pPr/>
            <w:r>
              <w:t xml:space="preserve">Minimum surveillance standard</w:t>
            </w:r>
          </w:p>
        </w:tc>
        <w:tc>
          <w:tcPr>
            <w:tcW w:w="3594" w:type="dxa"/>
            <w:shd w:val="clear" w:color="auto" w:fill="F2F2F2"/>
          </w:tcPr>
          <w:p>
            <w:pPr/>
            <w:r>
              <w:t xml:space="preserve">What a country should count</w:t>
            </w:r>
          </w:p>
        </w:tc>
        <w:tc>
          <w:tcPr>
            <w:tcW w:w="1550" w:type="dxa"/>
            <w:shd w:val="clear" w:color="auto" w:fill="F2F2F2"/>
          </w:tcPr>
          <w:p>
            <w:pPr/>
            <w:r>
              <w:t xml:space="preserve">Lab confirmation needed?</w:t>
            </w:r>
          </w:p>
        </w:tc>
      </w:tr>
      <w:tr>
        <w:tc>
          <w:tcPr>
            <w:tcW w:w="1305" w:type="dxa"/>
          </w:tcPr>
          <w:p>
            <w:pPr/>
            <w:hyperlink r:id="rId19" w:history="1">
              <w:r>
                <w:rPr>
                  <w:rStyle w:val="Hyperlink"/>
                </w:rPr>
                <w:t xml:space="preserve">Diphtheria</w:t>
              </w:r>
            </w:hyperlink>
          </w:p>
        </w:tc>
        <w:tc>
          <w:tcPr>
            <w:tcW w:w="2911" w:type="dxa"/>
          </w:tcPr>
          <w:p>
            <w:pPr/>
            <w:r>
              <w:t xml:space="preserve">National, facility-based, case-based</w:t>
            </w:r>
          </w:p>
        </w:tc>
        <w:tc>
          <w:tcPr>
            <w:tcW w:w="3594" w:type="dxa"/>
          </w:tcPr>
          <w:p>
            <w:pPr/>
            <w:r>
              <w:t xml:space="preserve">"Total diphtheria cases are the sum of laboratory-confirmed, epidemiologically linked and clinically compatible cases"</w:t>
            </w:r>
          </w:p>
        </w:tc>
        <w:tc>
          <w:tcPr>
            <w:tcW w:w="1550" w:type="dxa"/>
          </w:tcPr>
          <w:p>
            <w:pPr/>
            <w:r>
              <w:t xml:space="preserve">No. Clinically compatible cases count</w:t>
            </w:r>
          </w:p>
        </w:tc>
      </w:tr>
      <w:tr>
        <w:tc>
          <w:tcPr>
            <w:tcW w:w="1305" w:type="dxa"/>
          </w:tcPr>
          <w:p>
            <w:pPr/>
            <w:hyperlink r:id="rId20" w:history="1">
              <w:r>
                <w:rPr>
                  <w:rStyle w:val="Hyperlink"/>
                </w:rPr>
                <w:t xml:space="preserve">Pertussis</w:t>
              </w:r>
            </w:hyperlink>
          </w:p>
        </w:tc>
        <w:tc>
          <w:tcPr>
            <w:tcW w:w="2911" w:type="dxa"/>
          </w:tcPr>
          <w:p>
            <w:pPr/>
            <w:r>
              <w:t xml:space="preserve">Minimum is "sentinel hospital-based, case-based surveillance, with lab confirmation limited to children &lt; 5"</w:t>
            </w:r>
          </w:p>
        </w:tc>
        <w:tc>
          <w:tcPr>
            <w:tcW w:w="3594" w:type="dxa"/>
          </w:tcPr>
          <w:p>
            <w:pPr/>
            <w:r>
              <w:t xml:space="preserve">Laboratory-confirmed, epidemiologically linked and "possible" (clinical) cases</w:t>
            </w:r>
          </w:p>
        </w:tc>
        <w:tc>
          <w:tcPr>
            <w:tcW w:w="1550" w:type="dxa"/>
          </w:tcPr>
          <w:p>
            <w:pPr/>
            <w:r>
              <w:t xml:space="preserve">No. Clinical "possible" cases count</w:t>
            </w:r>
          </w:p>
        </w:tc>
      </w:tr>
      <w:tr>
        <w:tc>
          <w:tcPr>
            <w:tcW w:w="1305" w:type="dxa"/>
          </w:tcPr>
          <w:p>
            <w:pPr/>
            <w:hyperlink r:id="rId21" w:history="1">
              <w:r>
                <w:rPr>
                  <w:rStyle w:val="Hyperlink"/>
                </w:rPr>
                <w:t xml:space="preserve">Neonatal tetanus</w:t>
              </w:r>
            </w:hyperlink>
          </w:p>
        </w:tc>
        <w:tc>
          <w:tcPr>
            <w:tcW w:w="2911" w:type="dxa"/>
          </w:tcPr>
          <w:p>
            <w:pPr/>
            <w:r>
              <w:t xml:space="preserve">Nationwide, case-based</w:t>
            </w:r>
          </w:p>
        </w:tc>
        <w:tc>
          <w:tcPr>
            <w:tcW w:w="3594" w:type="dxa"/>
          </w:tcPr>
          <w:p>
            <w:pPr/>
            <w:r>
              <w:t xml:space="preserve">Clinically confirmed cases aged 3–28 days. Classification is "entirely clinical"</w:t>
            </w:r>
          </w:p>
        </w:tc>
        <w:tc>
          <w:tcPr>
            <w:tcW w:w="1550" w:type="dxa"/>
          </w:tcPr>
          <w:p>
            <w:pPr/>
            <w:r>
              <w:t xml:space="preserve">No</w:t>
            </w:r>
          </w:p>
        </w:tc>
      </w:tr>
      <w:tr>
        <w:tc>
          <w:tcPr>
            <w:tcW w:w="1305" w:type="dxa"/>
          </w:tcPr>
          <w:p>
            <w:pPr/>
            <w:hyperlink r:id="rId22" w:history="1">
              <w:r>
                <w:rPr>
                  <w:rStyle w:val="Hyperlink"/>
                </w:rPr>
                <w:t xml:space="preserve">Non-neonatal tetanus</w:t>
              </w:r>
            </w:hyperlink>
          </w:p>
        </w:tc>
        <w:tc>
          <w:tcPr>
            <w:tcW w:w="2911" w:type="dxa"/>
          </w:tcPr>
          <w:p>
            <w:pPr/>
            <w:r>
              <w:t xml:space="preserve">"Nationwide, aggregate surveillance with routine reporting from inpatient facilities"</w:t>
            </w:r>
          </w:p>
        </w:tc>
        <w:tc>
          <w:tcPr>
            <w:tcW w:w="3594" w:type="dxa"/>
          </w:tcPr>
          <w:p>
            <w:pPr/>
            <w:r>
              <w:t xml:space="preserve">"Tally only probable and confirmed inpatient cases"</w:t>
            </w:r>
          </w:p>
        </w:tc>
        <w:tc>
          <w:tcPr>
            <w:tcW w:w="1550" w:type="dxa"/>
          </w:tcPr>
          <w:p>
            <w:pPr/>
            <w:r>
              <w:t xml:space="preserve">No. Physician-confirmed or probable</w:t>
            </w:r>
          </w:p>
        </w:tc>
      </w:tr>
    </w:tbl>
    <w:p>
      <w:pPr>
        <w:pStyle w:val="ListParagraph"/>
        <w:numPr>
          <w:ilvl w:val="0"/>
          <w:numId w:val="3"/>
        </w:numPr>
      </w:pPr>
      <w:r>
        <w:rPr>
          <w:b/>
        </w:rPr>
        <w:t xml:space="preserve">Consistency between countries.</w:t>
      </w:r>
      <w:r>
        <w:t xml:space="preserve"> The standards set the minimum, but the 2018 chapters give no count of countries that meet it. The 2023–2024 African diphtheria review found that "Some countries report only suspected cases" and that "There are discrepancies in suspected cases reported in eJRF by few countries" (</w:t>
      </w:r>
      <w:hyperlink r:id="rId10" w:history="1">
        <w:r>
          <w:rPr>
            <w:rStyle w:val="Hyperlink"/>
          </w:rPr>
          <w:t xml:space="preserve">Bita Fouda et al. 2025</w:t>
        </w:r>
      </w:hyperlink>
      <w:r>
        <w:t xml:space="preserve">). In that review, 94.6% of classified cases were clinically compatible.</w:t>
      </w:r>
    </w:p>
    <w:p>
      <w:pPr>
        <w:pStyle w:val="ListParagraph"/>
        <w:numPr>
          <w:ilvl w:val="0"/>
          <w:numId w:val="3"/>
        </w:numPr>
      </w:pPr>
      <w:r>
        <w:rPr>
          <w:b/>
        </w:rPr>
        <w:t xml:space="preserve">Total vs neonatal tetanus.</w:t>
      </w:r>
      <w:r>
        <w:t xml:space="preserve"> The non-neonatal chapter asks for neonatal and non-neonatal cases to be reported "separately … through the Joint Reporting Form". It also says "approximately 13,500 tetanus cases were reported in 2016 through the [JRF], with 85% of cases occurring after the neonatal period." So WHS3_46 should equal neonatal plus non-neonatal tetanus.</w:t>
      </w:r>
    </w:p>
    <w:p>
      <w:pPr>
        <w:pStyle w:val="ListParagraph"/>
        <w:numPr>
          <w:ilvl w:val="0"/>
          <w:numId w:val="3"/>
        </w:numPr>
      </w:pPr>
      <w:r>
        <w:rPr>
          <w:b/>
        </w:rPr>
        <w:t xml:space="preserve">When total tetanus started.</w:t>
      </w:r>
      <w:r>
        <w:t xml:space="preserve"> No WHO page I read gives a start year for the total-tetanus field, and the 2018 chapter is silent. The eJRF page says older indicator lists are available from vpdata@who.int (status: not found).</w:t>
      </w:r>
    </w:p>
    <w:p>
      <w:pPr>
        <w:pStyle w:val="Heading3"/>
      </w:pPr>
      <w:r>
        <w:t xml:space="preserve">A1.3 Zero vs blank, and revisions</w:t>
      </w:r>
    </w:p>
    <w:p>
      <w:pPr>
        <w:pStyle w:val="ListParagraph"/>
        <w:numPr>
          <w:ilvl w:val="0"/>
          <w:numId w:val="4"/>
        </w:numPr>
      </w:pPr>
      <w:r>
        <w:rPr>
          <w:b/>
        </w:rPr>
        <w:t xml:space="preserve">In the GHO API, a missing report is a row with a null value; a reported zero is the number 0.</w:t>
      </w:r>
      <w:r>
        <w:t xml:space="preserve"> India's WHS3_46 rows for 1995 and 1996 have </w:t>
      </w:r>
      <w:r>
        <w:rPr>
          <w:rStyle w:val="CodeChar"/>
        </w:rPr>
        <w:t xml:space="preserve">NumericValue: null</w:t>
      </w:r>
      <w:r>
        <w:t xml:space="preserve"> (</w:t>
      </w:r>
      <w:hyperlink r:id="rId11" w:history="1">
        <w:r>
          <w:rPr>
            <w:rStyle w:val="Hyperlink"/>
          </w:rPr>
          <w:t xml:space="preserve">GHO API</w:t>
        </w:r>
      </w:hyperlink>
      <w:r>
        <w:t xml:space="preserve">). Check that your download step keeps nulls as NA and does not turn them into zeros.</w:t>
      </w:r>
    </w:p>
    <w:p>
      <w:pPr>
        <w:pStyle w:val="ListParagraph"/>
        <w:numPr>
          <w:ilvl w:val="0"/>
          <w:numId w:val="4"/>
        </w:numPr>
      </w:pPr>
      <w:r>
        <w:rPr>
          <w:b/>
        </w:rPr>
        <w:t xml:space="preserve">What zero means.</w:t>
      </w:r>
      <w:r>
        <w:t xml:space="preserve"> The surveillance standards ask sites to report "even if there are zero cases". WHO does not say whether a JRF zero means "surveillance found none" or "not collected" (status: not found).</w:t>
      </w:r>
    </w:p>
    <w:p>
      <w:pPr>
        <w:pStyle w:val="ListParagraph"/>
        <w:numPr>
          <w:ilvl w:val="0"/>
          <w:numId w:val="4"/>
        </w:numPr>
      </w:pPr>
      <w:r>
        <w:rPr>
          <w:b/>
        </w:rPr>
        <w:t xml:space="preserve">Revisions.</w:t>
      </w:r>
      <w:r>
        <w:t xml:space="preserve"> Countries "may update prior years' data at any time", and the portal says historical data "are updated and made available as data is received". No version history is published, so the download date matters for reproducibility.</w:t>
      </w:r>
    </w:p>
    <w:p>
      <w:pPr>
        <w:pStyle w:val="Heading3"/>
      </w:pPr>
      <w:r>
        <w:t xml:space="preserve">A1.4 What WHO says about completeness</w:t>
      </w:r>
    </w:p>
    <w:p>
      <w:pPr>
        <w:pStyle w:val="ListParagraph"/>
        <w:numPr>
          <w:ilvl w:val="0"/>
          <w:numId w:val="5"/>
        </w:numPr>
      </w:pPr>
      <w:r>
        <w:rPr>
          <w:b/>
        </w:rPr>
        <w:t xml:space="preserve">Diphtheria:</w:t>
      </w:r>
      <w:r>
        <w:t xml:space="preserve"> reported cases "are likely an underestimation of the real burden of disease due to under-reporting" (</w:t>
      </w:r>
      <w:hyperlink r:id="rId19" w:history="1">
        <w:r>
          <w:rPr>
            <w:rStyle w:val="Hyperlink"/>
          </w:rPr>
          <w:t xml:space="preserve">2018 standard</w:t>
        </w:r>
      </w:hyperlink>
      <w:r>
        <w:t xml:space="preserve">).</w:t>
      </w:r>
    </w:p>
    <w:p>
      <w:pPr>
        <w:pStyle w:val="ListParagraph"/>
        <w:numPr>
          <w:ilvl w:val="0"/>
          <w:numId w:val="5"/>
        </w:numPr>
      </w:pPr>
      <w:r>
        <w:rPr>
          <w:b/>
        </w:rPr>
        <w:t xml:space="preserve">Tetanus:</w:t>
      </w:r>
      <w:r>
        <w:t xml:space="preserve"> the 2016 JRF total of about 13,500 "is likely an underestimate; true tetanus incidence is uncertain." WHO also notes the "absence of reliable global estimates of non-NT cases and deaths" (non-neonatal tetanus chapter).</w:t>
      </w:r>
    </w:p>
    <w:p>
      <w:pPr>
        <w:pStyle w:val="ListParagraph"/>
        <w:numPr>
          <w:ilvl w:val="0"/>
          <w:numId w:val="5"/>
        </w:numPr>
      </w:pPr>
      <w:r>
        <w:rPr>
          <w:b/>
        </w:rPr>
        <w:t xml:space="preserve">Pertussis:</w:t>
      </w:r>
      <w:r>
        <w:t xml:space="preserve"> "In developing countries … pertussis surveillance data is less robust". The chapter adds that "many pertussis deaths might occur outside of health care settings, and would be missed by facility-based surveillance" (</w:t>
      </w:r>
      <w:hyperlink r:id="rId20" w:history="1">
        <w:r>
          <w:rPr>
            <w:rStyle w:val="Hyperlink"/>
          </w:rPr>
          <w:t xml:space="preserve">2018 standard</w:t>
        </w:r>
      </w:hyperlink>
      <w:r>
        <w:t xml:space="preserve">).</w:t>
      </w:r>
    </w:p>
    <w:p>
      <w:pPr>
        <w:pStyle w:val="ListParagraph"/>
        <w:numPr>
          <w:ilvl w:val="0"/>
          <w:numId w:val="5"/>
        </w:numPr>
      </w:pPr>
      <w:r>
        <w:rPr>
          <w:b/>
        </w:rPr>
        <w:t xml:space="preserve">Neonatal tetanus:</w:t>
      </w:r>
      <w:r>
        <w:t xml:space="preserve"> "Because most neonatal deaths occur in remote areas, which might lead to underreporting, neonatal tetanus deaths are estimated using mathematical models" (</w:t>
      </w:r>
      <w:hyperlink r:id="rId23" w:history="1">
        <w:r>
          <w:rPr>
            <w:rStyle w:val="Hyperlink"/>
          </w:rPr>
          <w:t xml:space="preserve">Jones et al., MMWR 2024</w:t>
        </w:r>
      </w:hyperlink>
      <w:r>
        <w:t xml:space="preserve">).</w:t>
      </w:r>
    </w:p>
    <w:p>
      <w:pPr>
        <w:pStyle w:val="Heading2"/>
      </w:pPr>
      <w:r>
        <w:t xml:space="preserve">Part A2: How GBD 2023 estimates are produced</w:t>
      </w:r>
    </w:p>
    <w:p>
      <w:pPr/>
      <w:r>
        <w:t xml:space="preserve">GBD 2023 builds the three causes in three different ways. Only pertussis incidence is modelled from WHO notifications. Diphtheria and tetanus incidence are back-calculated as modelled deaths ÷ a modelled case-fatality ratio (CFR). Since GBD 2023, diphtheria and pertussis are floored at the JRF notification count; tetanus is not.</w:t>
      </w:r>
    </w:p>
    <w:p>
      <w:pPr/>
      <w:r>
        <w:t xml:space="preserve">Sources: GBD 2023 nonfatal appendix (</w:t>
      </w:r>
      <w:hyperlink r:id="rId24" w:history="1">
        <w:r>
          <w:rPr>
            <w:rStyle w:val="Hyperlink"/>
          </w:rPr>
          <w:t xml:space="preserve">GBD 2023 Disease, Injury and Risk Factor Collaborators, Lancet 2025, appendix 1</w:t>
        </w:r>
      </w:hyperlink>
      <w:r>
        <w:t xml:space="preserve">; diphtheria pp 479–483, pertussis pp 1100–1102, tetanus pp 1204–1208) and the cause-of-death appendix (</w:t>
      </w:r>
      <w:hyperlink r:id="rId25" w:history="1">
        <w:r>
          <w:rPr>
            <w:rStyle w:val="Hyperlink"/>
          </w:rPr>
          <w:t xml:space="preserve">GBD 2023 Causes of Death Collaborators, Lancet 2025, appendix 1</w:t>
        </w:r>
      </w:hyperlink>
      <w:r>
        <w:t xml:space="preserve">; diphtheria pp 440–441, pertussis pp 669–671, tetanus pp 711–712). Page numbers are as printed in the appendices. I read both appendices in full text. The pertussis method is also set out in the GBD 2023 pertussis capstone (</w:t>
      </w:r>
      <w:hyperlink r:id="rId6" w:history="1">
        <w:r>
          <w:rPr>
            <w:rStyle w:val="Hyperlink"/>
          </w:rPr>
          <w:t xml:space="preserve">Nature Medicine, 21 Oct 2026</w:t>
        </w:r>
      </w:hyperlink>
      <w:r>
        <w:t xml:space="preserve">). Every statement below refers to the GBD 2023 round unless marked otherwise.</w:t>
      </w:r>
    </w:p>
    <w:p>
      <w:pPr>
        <w:pStyle w:val="Heading3"/>
      </w:pPr>
      <w:r>
        <w:t xml:space="preserve">A2.5 Input data, by cause</w:t>
      </w:r>
    </w:p>
    <w:tbl>
      <w:tblPr>
        <w:tblStyle w:val="TableGrid"/>
        <w:tblW w:w="0" w:type="auto"/>
        <w:tblLayout w:type="fixed"/>
        <w:tblLook w:val="04A0" w:firstRow="1" w:lastRow="0" w:firstColumn="0" w:lastColumn="0" w:noHBand="0" w:noVBand="1"/>
      </w:tblPr>
      <w:tblGrid>
        <w:gridCol w:w="1662"/>
        <w:gridCol w:w="2772"/>
        <w:gridCol w:w="2874"/>
        <w:gridCol w:w="2052"/>
      </w:tblGrid>
      <w:tr>
        <w:trPr>
          <w:tblHeader/>
        </w:trPr>
        <w:tc>
          <w:tcPr>
            <w:tcW w:w="1662" w:type="dxa"/>
            <w:shd w:val="clear" w:color="auto" w:fill="F2F2F2"/>
          </w:tcPr>
          <w:p>
            <w:pPr/>
          </w:p>
        </w:tc>
        <w:tc>
          <w:tcPr>
            <w:tcW w:w="2772" w:type="dxa"/>
            <w:shd w:val="clear" w:color="auto" w:fill="F2F2F2"/>
          </w:tcPr>
          <w:p>
            <w:pPr/>
            <w:r>
              <w:t xml:space="preserve">Pertussis</w:t>
            </w:r>
          </w:p>
        </w:tc>
        <w:tc>
          <w:tcPr>
            <w:tcW w:w="2874" w:type="dxa"/>
            <w:shd w:val="clear" w:color="auto" w:fill="F2F2F2"/>
          </w:tcPr>
          <w:p>
            <w:pPr/>
            <w:r>
              <w:t xml:space="preserve">Diphtheria</w:t>
            </w:r>
          </w:p>
        </w:tc>
        <w:tc>
          <w:tcPr>
            <w:tcW w:w="2052" w:type="dxa"/>
            <w:shd w:val="clear" w:color="auto" w:fill="F2F2F2"/>
          </w:tcPr>
          <w:p>
            <w:pPr/>
            <w:r>
              <w:t xml:space="preserve">Tetanus</w:t>
            </w:r>
          </w:p>
        </w:tc>
      </w:tr>
      <w:tr>
        <w:tc>
          <w:tcPr>
            <w:tcW w:w="1662" w:type="dxa"/>
          </w:tcPr>
          <w:p>
            <w:pPr/>
            <w:r>
              <w:t xml:space="preserve">How incidence is made</w:t>
            </w:r>
          </w:p>
        </w:tc>
        <w:tc>
          <w:tcPr>
            <w:tcW w:w="2772" w:type="dxa"/>
          </w:tcPr>
          <w:p>
            <w:pPr/>
            <w:r>
              <w:t xml:space="preserve">Mixed-effects log-linear regression fitted to </w:t>
            </w:r>
            <w:r>
              <w:rPr>
                <w:b/>
              </w:rPr>
              <w:t xml:space="preserve">WHO JRF notifications</w:t>
            </w:r>
            <w:r>
              <w:t xml:space="preserve">, plus UK data from 1942</w:t>
            </w:r>
          </w:p>
        </w:tc>
        <w:tc>
          <w:tcPr>
            <w:tcW w:w="2874" w:type="dxa"/>
          </w:tcPr>
          <w:p>
            <w:pPr/>
            <w:r>
              <w:rPr>
                <w:b/>
              </w:rPr>
              <w:t xml:space="preserve">Deaths ÷ CFR</w:t>
            </w:r>
            <w:r>
              <w:t xml:space="preserve">. The CFR comes from DisMod-MR with HAQ Index as a covariate</w:t>
            </w:r>
          </w:p>
        </w:tc>
        <w:tc>
          <w:tcPr>
            <w:tcW w:w="2052" w:type="dxa"/>
          </w:tcPr>
          <w:p>
            <w:pPr/>
            <w:r>
              <w:rPr>
                <w:b/>
              </w:rPr>
              <w:t xml:space="preserve">Deaths ÷ CFR</w:t>
            </w:r>
            <w:r>
              <w:t xml:space="preserve">. The CFR comes from DisMod-MR with HAQ Index as a covariate</w:t>
            </w:r>
          </w:p>
        </w:tc>
      </w:tr>
      <w:tr>
        <w:tc>
          <w:tcPr>
            <w:tcW w:w="1662" w:type="dxa"/>
          </w:tcPr>
          <w:p>
            <w:pPr/>
            <w:r>
              <w:t xml:space="preserve">Uses JRF notifications?</w:t>
            </w:r>
          </w:p>
        </w:tc>
        <w:tc>
          <w:tcPr>
            <w:tcW w:w="2772" w:type="dxa"/>
          </w:tcPr>
          <w:p>
            <w:pPr/>
            <w:r>
              <w:t xml:space="preserve">Yes, as the primary input</w:t>
            </w:r>
          </w:p>
        </w:tc>
        <w:tc>
          <w:tcPr>
            <w:tcW w:w="2874" w:type="dxa"/>
          </w:tcPr>
          <w:p>
            <w:pPr/>
            <w:r>
              <w:t xml:space="preserve">Only as a floor (new in GBD 2023)</w:t>
            </w:r>
          </w:p>
        </w:tc>
        <w:tc>
          <w:tcPr>
            <w:tcW w:w="2052" w:type="dxa"/>
          </w:tcPr>
          <w:p>
            <w:pPr/>
            <w:r>
              <w:t xml:space="preserve">No</w:t>
            </w:r>
          </w:p>
        </w:tc>
      </w:tr>
      <w:tr>
        <w:tc>
          <w:tcPr>
            <w:tcW w:w="1662" w:type="dxa"/>
          </w:tcPr>
          <w:p>
            <w:pPr/>
            <w:r>
              <w:t xml:space="preserve">Under-reporting adjustment</w:t>
            </w:r>
          </w:p>
        </w:tc>
        <w:tc>
          <w:tcPr>
            <w:tcW w:w="2772" w:type="dxa"/>
          </w:tcPr>
          <w:p>
            <w:pPr/>
            <w:r>
              <w:t xml:space="preserve">Swaps each country's random effect for </w:t>
            </w:r>
            <w:r>
              <w:rPr>
                <w:b/>
              </w:rPr>
              <w:t xml:space="preserve">Switzerland's</w:t>
            </w:r>
            <w:r>
              <w:t xml:space="preserve"> (see below)</w:t>
            </w:r>
          </w:p>
        </w:tc>
        <w:tc>
          <w:tcPr>
            <w:tcW w:w="2874" w:type="dxa"/>
          </w:tcPr>
          <w:p>
            <w:pPr/>
            <w:r>
              <w:t xml:space="preserve">None needed, because incidence is derived from deaths</w:t>
            </w:r>
          </w:p>
        </w:tc>
        <w:tc>
          <w:tcPr>
            <w:tcW w:w="2052" w:type="dxa"/>
          </w:tcPr>
          <w:p>
            <w:pPr/>
            <w:r>
              <w:t xml:space="preserve">None</w:t>
            </w:r>
          </w:p>
        </w:tc>
      </w:tr>
      <w:tr>
        <w:tc>
          <w:tcPr>
            <w:tcW w:w="1662" w:type="dxa"/>
          </w:tcPr>
          <w:p>
            <w:pPr/>
            <w:r>
              <w:t xml:space="preserve">How deaths are made</w:t>
            </w:r>
          </w:p>
        </w:tc>
        <w:tc>
          <w:tcPr>
            <w:tcW w:w="2772" w:type="dxa"/>
          </w:tcPr>
          <w:p>
            <w:pPr/>
            <w:r>
              <w:t xml:space="preserve">CODEm in 64 data-rich locations. Elsewhere incidence × CFR (140 locations)</w:t>
            </w:r>
          </w:p>
        </w:tc>
        <w:tc>
          <w:tcPr>
            <w:tcW w:w="2874" w:type="dxa"/>
          </w:tcPr>
          <w:p>
            <w:pPr/>
            <w:r>
              <w:t xml:space="preserve">CODEm in data-rich locations. Elsewhere a negative binomial cause-fraction model</w:t>
            </w:r>
          </w:p>
        </w:tc>
        <w:tc>
          <w:tcPr>
            <w:tcW w:w="2052" w:type="dxa"/>
          </w:tcPr>
          <w:p>
            <w:pPr/>
            <w:r>
              <w:t xml:space="preserve">CODEm everywhere: under-1 and over-1, data-rich and global models</w:t>
            </w:r>
          </w:p>
        </w:tc>
      </w:tr>
      <w:tr>
        <w:tc>
          <w:tcPr>
            <w:tcW w:w="1662" w:type="dxa"/>
          </w:tcPr>
          <w:p>
            <w:pPr/>
            <w:r>
              <w:t xml:space="preserve">DTP3 covariate</w:t>
            </w:r>
          </w:p>
        </w:tc>
        <w:tc>
          <w:tcPr>
            <w:tcW w:w="2772" w:type="dxa"/>
          </w:tcPr>
          <w:p>
            <w:pPr/>
            <w:r>
              <w:t xml:space="preserve">5-year rolling mean of COVID-inclusive DTP3, used in the incidence model</w:t>
            </w:r>
          </w:p>
        </w:tc>
        <w:tc>
          <w:tcPr>
            <w:tcW w:w="2874" w:type="dxa"/>
          </w:tcPr>
          <w:p>
            <w:pPr/>
            <w:r>
              <w:t xml:space="preserve">5-year lagged COVID-inclusive DTP3, used in the death models</w:t>
            </w:r>
          </w:p>
        </w:tc>
        <w:tc>
          <w:tcPr>
            <w:tcW w:w="2052" w:type="dxa"/>
          </w:tcPr>
          <w:p>
            <w:pPr/>
            <w:r>
              <w:t xml:space="preserve">5-year lagged COVID-inclusive DTP3, plus TT coverage and in-facility delivery for under-1s</w:t>
            </w:r>
          </w:p>
        </w:tc>
      </w:tr>
      <w:tr>
        <w:tc>
          <w:tcPr>
            <w:tcW w:w="1662" w:type="dxa"/>
          </w:tcPr>
          <w:p>
            <w:pPr/>
            <w:r>
              <w:t xml:space="preserve">COVID-19 handling</w:t>
            </w:r>
          </w:p>
        </w:tc>
        <w:tc>
          <w:tcPr>
            <w:tcW w:w="2772" w:type="dxa"/>
          </w:tcPr>
          <w:p>
            <w:pPr/>
            <w:r>
              <w:t xml:space="preserve">Mask-use covariate (new in 2023)</w:t>
            </w:r>
          </w:p>
        </w:tc>
        <w:tc>
          <w:tcPr>
            <w:tcW w:w="2874" w:type="dxa"/>
          </w:tcPr>
          <w:p>
            <w:pPr/>
            <w:r>
              <w:t xml:space="preserve">DTP3 covariate. The custom model drops post-2019 cause fractions</w:t>
            </w:r>
          </w:p>
        </w:tc>
        <w:tc>
          <w:tcPr>
            <w:tcW w:w="2052" w:type="dxa"/>
          </w:tcPr>
          <w:p>
            <w:pPr/>
            <w:r>
              <w:t xml:space="preserve">DTP3 covariate</w:t>
            </w:r>
          </w:p>
        </w:tc>
      </w:tr>
    </w:tbl>
    <w:p>
      <w:pPr/>
      <w:r>
        <w:rPr>
          <w:b/>
        </w:rPr>
        <w:t xml:space="preserve">Pertussis.</w:t>
      </w:r>
      <w:r>
        <w:t xml:space="preserve"> "Our primary input data are the pertussis case notifications released annually by the World Health Organization (WHO) through the Joint Reporting Form (JRF)." The GBD reference case definition is "Cases reported by national pertussis surveillance systems to WHO. Cases may be laboratory-confirmed, clinically diagnosed, or epidemiologically linked" (nonfatal appendix p 1100). The model is:</w:t>
      </w:r>
    </w:p>
    <w:p>
      <w:pPr>
        <w:pStyle w:val="Code"/>
      </w:pPr>
      <w:bookmarkStart w:id="1" w:name="bongo_lang_latex_1"/>
      <w:bookmarkEnd w:id="1"/>
      <w:r>
        <w:t xml:space="preserve">\ln(\text{incidence}_{ij}) = \beta_0 + \beta_1 \ln(1-\text{DTP3}_{ij}) + \beta_2 \ln(1-\text{masking}_{ij}) + u_j + e_{ij}</w:t>
      </w:r>
    </w:p>
    <w:p>
      <w:pPr/>
      <w:r>
        <w:t xml:space="preserve">The under-reporting correction is the key choice. "As in GBD 2021, we corrected for pertussis under-reporting by substituting the location-specific random effect with the random effect obtained for Switzerland … This approach assumes no under-reporting in Switzerland and a stable attack rate across unvaccinated populations" (p 1101).</w:t>
      </w:r>
    </w:p>
    <w:p>
      <w:pPr>
        <w:pStyle w:val="ListParagraph"/>
        <w:numPr>
          <w:ilvl w:val="0"/>
          <w:numId w:val="6"/>
        </w:numPr>
      </w:pPr>
      <w:r>
        <w:rPr>
          <w:b/>
        </w:rPr>
        <w:t xml:space="preserve">What this implies.</w:t>
      </w:r>
      <w:r>
        <w:t xml:space="preserve"> For a country j, GBD predicted incidence divided by the fitted value of its own notifications is about exp(u_Switzerland − u_j). One country-level constant therefore sets the reporting rate (my algebra, from the stated model).</w:t>
      </w:r>
    </w:p>
    <w:p>
      <w:pPr>
        <w:pStyle w:val="ListParagraph"/>
        <w:numPr>
          <w:ilvl w:val="0"/>
          <w:numId w:val="6"/>
        </w:numPr>
      </w:pPr>
      <w:r>
        <w:rPr>
          <w:b/>
        </w:rPr>
        <w:t xml:space="preserve">How sensitive it is.</w:t>
      </w:r>
      <w:r>
        <w:t xml:space="preserve"> The capstone reports that using the mean of the top-five random effects instead of Switzerland's would multiply the scaling by 0.39. With no reference (RE = 0) it would multiply by 0.0069, and these alternatives are "not alternative GBD model runs" (</w:t>
      </w:r>
      <w:hyperlink r:id="rId6" w:history="1">
        <w:r>
          <w:rPr>
            <w:rStyle w:val="Hyperlink"/>
          </w:rPr>
          <w:t xml:space="preserve">Nature Medicine 2026</w:t>
        </w:r>
      </w:hyperlink>
      <w:r>
        <w:t xml:space="preserve">).</w:t>
      </w:r>
    </w:p>
    <w:p>
      <w:pPr>
        <w:pStyle w:val="ListParagraph"/>
        <w:numPr>
          <w:ilvl w:val="0"/>
          <w:numId w:val="6"/>
        </w:numPr>
      </w:pPr>
      <w:r>
        <w:rPr>
          <w:b/>
        </w:rPr>
        <w:t xml:space="preserve">Deaths.</w:t>
      </w:r>
      <w:r>
        <w:t xml:space="preserve"> CODEm runs in 64 locations. In the other 140, deaths = incidence × CFR, with the CFR from a negative binomial model on HAQ fitted to literature data. The natural-history path covers all 46 sub-Saharan African locations, all five South Asian ones and 20 of 21 in north Africa and the Middle East. So deaths there inherit the Switzerland scaling.</w:t>
      </w:r>
    </w:p>
    <w:p>
      <w:pPr/>
      <w:r>
        <w:rPr>
          <w:b/>
        </w:rPr>
        <w:t xml:space="preserve">Diphtheria.</w:t>
      </w:r>
      <w:r>
        <w:t xml:space="preserve"> "Incidence was calculated as the mortality rate divided by the case-fatality ratio" (p 481).</w:t>
      </w:r>
    </w:p>
    <w:p>
      <w:pPr>
        <w:pStyle w:val="ListParagraph"/>
        <w:numPr>
          <w:ilvl w:val="0"/>
          <w:numId w:val="7"/>
        </w:numPr>
      </w:pPr>
      <w:r>
        <w:t xml:space="preserve">The CFR review for GBD 2023 kept only studies with complete case ascertainment or population-representative reporting. This "led to far lower CFR estimates compared to previous rounds" (p 482), so incidence is higher than in GBD 2021 for the same deaths.</w:t>
      </w:r>
    </w:p>
    <w:p>
      <w:pPr>
        <w:pStyle w:val="ListParagraph"/>
        <w:numPr>
          <w:ilvl w:val="0"/>
          <w:numId w:val="7"/>
        </w:numPr>
      </w:pPr>
      <w:r>
        <w:t xml:space="preserve">Deaths come from CODEm in data-rich locations. Elsewhere a negative binomial model of cause fractions on DTP3 and HAQ is used, with post-2019 data excluded (CoD appendix p 441).</w:t>
      </w:r>
    </w:p>
    <w:p>
      <w:pPr/>
      <w:r>
        <w:rPr>
          <w:b/>
        </w:rPr>
        <w:t xml:space="preserve">Tetanus.</w:t>
      </w:r>
      <w:r>
        <w:t xml:space="preserve"> "Incidence rates were calculated by dividing GBD 2023 mortality rate estimates by the predicted CFR ratio" (p 1206).</w:t>
      </w:r>
    </w:p>
    <w:p>
      <w:pPr>
        <w:pStyle w:val="ListParagraph"/>
        <w:numPr>
          <w:ilvl w:val="0"/>
          <w:numId w:val="8"/>
        </w:numPr>
      </w:pPr>
      <w:r>
        <w:t xml:space="preserve">Deaths come only from CODEm, fed by vital registration, verbal autopsy and surveillance data, with separate under-1 and over-1 models (CoD appendix p 711).</w:t>
      </w:r>
    </w:p>
    <w:p>
      <w:pPr>
        <w:pStyle w:val="ListParagraph"/>
        <w:numPr>
          <w:ilvl w:val="0"/>
          <w:numId w:val="8"/>
        </w:numPr>
      </w:pPr>
      <w:r>
        <w:t xml:space="preserve">No case notifications enter the tetanus model.</w:t>
      </w:r>
    </w:p>
    <w:p>
      <w:pPr>
        <w:pStyle w:val="ListParagraph"/>
        <w:numPr>
          <w:ilvl w:val="0"/>
          <w:numId w:val="8"/>
        </w:numPr>
      </w:pPr>
      <w:r>
        <w:t xml:space="preserve">The new CFR review raised CFRs in south Asia and north Africa and the Middle East substantially. A higher CFR means lower incidence for the same deaths.</w:t>
      </w:r>
    </w:p>
    <w:p>
      <w:pPr/>
      <w:r>
        <w:rPr>
          <w:b/>
        </w:rPr>
        <w:t xml:space="preserve">GBD 2021 differences.</w:t>
      </w:r>
      <w:r>
        <w:t xml:space="preserve"> COVID-19 was handled by post-hoc adjustment of COVID-free counterfactual estimates for pertussis, and diphtheria mortality used COVID-free coverage with post-hoc adjustment. There was no notification floor. The Switzerland random-effect device and the incidence = deaths ÷ CFR approach for diphtheria and tetanus were already in place.</w:t>
      </w:r>
    </w:p>
    <w:p>
      <w:pPr>
        <w:pStyle w:val="Heading3"/>
      </w:pPr>
      <w:r>
        <w:t xml:space="preserve">A2.6 Tetanus definition</w:t>
      </w:r>
    </w:p>
    <w:p>
      <w:pPr/>
      <w:r>
        <w:t xml:space="preserve">GBD tetanus covers ICD-10 A33–A35.0 (A33 is neonatal tetanus), so it includes neonatal and non-neonatal tetanus. Neonatal deaths are modelled in separate under-1 CODEm models, and "All tetanus cases are assumed to be severe" (p 1204–1206). Conceptually this matches WHO's "total tetanus" (WHS3_46).</w:t>
      </w:r>
    </w:p>
    <w:p>
      <w:pPr/>
      <w:r>
        <w:t xml:space="preserve">The practical difference is the source.</w:t>
      </w:r>
    </w:p>
    <w:p>
      <w:pPr>
        <w:pStyle w:val="ListParagraph"/>
        <w:numPr>
          <w:ilvl w:val="0"/>
          <w:numId w:val="9"/>
        </w:numPr>
      </w:pPr>
      <w:r>
        <w:t xml:space="preserve">GBD incidence is death-driven: VR deaths ÷ CFR.</w:t>
      </w:r>
    </w:p>
    <w:p>
      <w:pPr>
        <w:pStyle w:val="ListParagraph"/>
        <w:numPr>
          <w:ilvl w:val="0"/>
          <w:numId w:val="9"/>
        </w:numPr>
      </w:pPr>
      <w:r>
        <w:t xml:space="preserve">WHO counts are clinically diagnosed inpatient notifications.</w:t>
      </w:r>
    </w:p>
    <w:p>
      <w:pPr/>
      <w:r>
        <w:t xml:space="preserve">The two can diverge wherever registered tetanus deaths are few, CFRs are high, or notifications include non-fatal cases that GBD's CFR does not reflect. To my knowledge, GBD publishes neonatal tetanus only inside the "Tetanus" cause, with no separate cause in the Results Tool hierarchy (not verified against the hierarchy file). You may be able to approximate it with age groups under 28 days (status: plausible, untested).</w:t>
      </w:r>
    </w:p>
    <w:p>
      <w:pPr>
        <w:pStyle w:val="Heading3"/>
      </w:pPr>
      <w:r>
        <w:t xml:space="preserve">A2.7 Pertussis in 2020–2021</w:t>
      </w:r>
    </w:p>
    <w:p>
      <w:pPr/>
      <w:r>
        <w:t xml:space="preserve">The dip is modelled, not observed. In GBD 2023 the incidence model has a "masking covariate to account for the impact of COVID-19 mitigation strategies on the incidence of pertussis." It also uses COVID-inclusive DTP3 (nonfatal appendix p 1101). No mobility or contact covariate is used, and the capstone says the mask variable "could not capture other pandemic-related changes such as school closures, mobility restrictions, healthcare seeking, diagnostic disruption or reporting delays" (</w:t>
      </w:r>
      <w:hyperlink r:id="rId6" w:history="1">
        <w:r>
          <w:rPr>
            <w:rStyle w:val="Hyperlink"/>
          </w:rPr>
          <w:t xml:space="preserve">Nature Medicine 2026</w:t>
        </w:r>
      </w:hyperlink>
      <w:r>
        <w:t xml:space="preserve">).</w:t>
      </w:r>
    </w:p>
    <w:p>
      <w:pPr/>
      <w:r>
        <w:t xml:space="preserve">The capstone calls 2020–2021 "anomalously low pandemic-period estimates" and reports a 102.6% rise in incidence from 2020 to 2023. The 2022 rebound in your download (19.3 million) is consistent with the mask covariate falling back. That last point is my inference.</w:t>
      </w:r>
    </w:p>
    <w:p>
      <w:pPr>
        <w:pStyle w:val="Heading3"/>
      </w:pPr>
      <w:r>
        <w:t xml:space="preserve">A2.8 Where GBD equals notifications</w:t>
      </w:r>
    </w:p>
    <w:p>
      <w:pPr/>
      <w:r>
        <w:t xml:space="preserve">This is documented for two of the three causes, both new in GBD 2023.</w:t>
      </w:r>
    </w:p>
    <w:p>
      <w:pPr>
        <w:pStyle w:val="ListParagraph"/>
        <w:numPr>
          <w:ilvl w:val="0"/>
          <w:numId w:val="10"/>
        </w:numPr>
      </w:pPr>
      <w:r>
        <w:rPr>
          <w:b/>
        </w:rPr>
        <w:t xml:space="preserve">Pertussis:</w:t>
      </w:r>
      <w:r>
        <w:t xml:space="preserve"> "we replaced our modelled estimates with case notifications when our modelled results were lower than notified cases" (p 1101). According to the capstone this affected </w:t>
      </w:r>
      <w:r>
        <w:rPr>
          <w:b/>
        </w:rPr>
        <w:t xml:space="preserve">60 location-years in 15 locations</w:t>
      </w:r>
      <w:r>
        <w:t xml:space="preserve"> (0.65% of 1980–2024 country-years), "concentrated in the high-income super-region" (</w:t>
      </w:r>
      <w:hyperlink r:id="rId6" w:history="1">
        <w:r>
          <w:rPr>
            <w:rStyle w:val="Hyperlink"/>
          </w:rPr>
          <w:t xml:space="preserve">Nature Medicine 2026</w:t>
        </w:r>
      </w:hyperlink>
      <w:r>
        <w:t xml:space="preserve">, Supplementary Table 11).</w:t>
      </w:r>
    </w:p>
    <w:p>
      <w:pPr>
        <w:pStyle w:val="ListParagraph"/>
        <w:numPr>
          <w:ilvl w:val="0"/>
          <w:numId w:val="10"/>
        </w:numPr>
      </w:pPr>
      <w:r>
        <w:rPr>
          <w:b/>
        </w:rPr>
        <w:t xml:space="preserve">Diphtheria:</w:t>
      </w:r>
      <w:r>
        <w:t xml:space="preserve"> "For location-years where modelled incidence was lower than JRF case notifications, we replaced modelled estimates with case notifications and calculated uncertainty intervals by sampling from a posterior distribution centered around this mean" (p 481–482).</w:t>
      </w:r>
    </w:p>
    <w:p>
      <w:pPr>
        <w:pStyle w:val="ListParagraph"/>
        <w:numPr>
          <w:ilvl w:val="0"/>
          <w:numId w:val="10"/>
        </w:numPr>
      </w:pPr>
      <w:r>
        <w:rPr>
          <w:b/>
        </w:rPr>
        <w:t xml:space="preserve">Tetanus:</w:t>
      </w:r>
      <w:r>
        <w:t xml:space="preserve"> no floor.</w:t>
      </w:r>
    </w:p>
    <w:p>
      <w:pPr>
        <w:pStyle w:val="Heading2"/>
      </w:pPr>
      <w:r>
        <w:t xml:space="preserve">Part B: Are your observations documented?</w:t>
      </w:r>
    </w:p>
    <w:p>
      <w:pPr/>
      <w:r>
        <w:t xml:space="preserve">Most of your patterns follow from how GBD 2023 is built, rather than from anything new in the data. The three biggest:</w:t>
      </w:r>
    </w:p>
    <w:p>
      <w:pPr>
        <w:pStyle w:val="ListParagraph"/>
        <w:numPr>
          <w:ilvl w:val="0"/>
          <w:numId w:val="11"/>
        </w:numPr>
      </w:pPr>
      <w:r>
        <w:t xml:space="preserve">Pertussis is scaled up to Switzerland's reporting level.</w:t>
      </w:r>
    </w:p>
    <w:p>
      <w:pPr>
        <w:pStyle w:val="ListParagraph"/>
        <w:numPr>
          <w:ilvl w:val="0"/>
          <w:numId w:val="11"/>
        </w:numPr>
      </w:pPr>
      <w:r>
        <w:t xml:space="preserve">Diphtheria and tetanus incidence come from deaths ÷ CFR.</w:t>
      </w:r>
    </w:p>
    <w:p>
      <w:pPr>
        <w:pStyle w:val="ListParagraph"/>
        <w:numPr>
          <w:ilvl w:val="0"/>
          <w:numId w:val="11"/>
        </w:numPr>
      </w:pPr>
      <w:r>
        <w:t xml:space="preserve">GBD 2023 floors pertussis and diphtheria at the notification count.</w:t>
      </w:r>
    </w:p>
    <w:p>
      <w:pPr/>
      <w:r>
        <w:t xml:space="preserve">Two patterns turn out to be artefacts of the WHO data itself:</w:t>
      </w:r>
    </w:p>
    <w:p>
      <w:pPr>
        <w:pStyle w:val="ListParagraph"/>
        <w:numPr>
          <w:ilvl w:val="0"/>
          <w:numId w:val="12"/>
        </w:numPr>
      </w:pPr>
      <w:r>
        <w:t xml:space="preserve">India's tetanus break: since 2022 India's "total tetanus" equals its neonatal tetanus count.</w:t>
      </w:r>
    </w:p>
    <w:p>
      <w:pPr>
        <w:pStyle w:val="ListParagraph"/>
        <w:numPr>
          <w:ilvl w:val="0"/>
          <w:numId w:val="12"/>
        </w:numPr>
      </w:pPr>
      <w:r>
        <w:t xml:space="preserve">Most of the "persistent zeros": GHO holds them as blanks (null), not zeros.</w:t>
      </w:r>
    </w:p>
    <w:p>
      <w:pPr/>
      <w:r>
        <w:t xml:space="preserve">Each item is labelled </w:t>
      </w:r>
      <w:r>
        <w:rPr>
          <w:b/>
        </w:rPr>
        <w:t xml:space="preserve">(a)</w:t>
      </w:r>
      <w:r>
        <w:t xml:space="preserve"> the source explicitly explains it, </w:t>
      </w:r>
      <w:r>
        <w:rPr>
          <w:b/>
        </w:rPr>
        <w:t xml:space="preserve">(b)</w:t>
      </w:r>
      <w:r>
        <w:t xml:space="preserve"> a source describes a mechanism that would plausibly explain it, or </w:t>
      </w:r>
      <w:r>
        <w:rPr>
          <w:b/>
        </w:rPr>
        <w:t xml:space="preserve">(c)</w:t>
      </w:r>
      <w:r>
        <w:t xml:space="preserve"> my own inference or check.</w:t>
      </w:r>
    </w:p>
    <w:p>
      <w:pPr>
        <w:pStyle w:val="Heading3"/>
      </w:pPr>
      <w:r>
        <w:t xml:space="preserve">B1. Pertussis is massively under-reported relative to GBD</w:t>
      </w:r>
    </w:p>
    <w:p>
      <w:pPr/>
      <w:r>
        <w:rPr>
          <w:b/>
        </w:rPr>
        <w:t xml:space="preserve">Status: Explained (a) for the level; plausible (b) for the variation.</w:t>
      </w:r>
    </w:p>
    <w:p>
      <w:pPr>
        <w:pStyle w:val="ListParagraph"/>
        <w:numPr>
          <w:ilvl w:val="0"/>
          <w:numId w:val="13"/>
        </w:numPr>
      </w:pPr>
      <w:r>
        <w:rPr>
          <w:b/>
        </w:rPr>
        <w:t xml:space="preserve">The level is set by GBD's design.</w:t>
      </w:r>
      <w:r>
        <w:t xml:space="preserve"> GBD corrects under-reporting by assigning every country Switzerland's random effect, which "assumes no under-reporting in Switzerland" (GBD 2023 nonfatal appendix p 1101). Every other country's implied reporting rate is therefore roughly exp(u_j − u_Switzerland). Switzerland has the largest random effect, so all rates are below Switzerland's by construction (c).</w:t>
      </w:r>
    </w:p>
    <w:p>
      <w:pPr>
        <w:pStyle w:val="ListParagraph"/>
        <w:numPr>
          <w:ilvl w:val="0"/>
          <w:numId w:val="13"/>
        </w:numPr>
      </w:pPr>
      <w:r>
        <w:rPr>
          <w:b/>
        </w:rPr>
        <w:t xml:space="preserve">GBD says the scaling is uncertain.</w:t>
      </w:r>
      <w:r>
        <w:t xml:space="preserve"> The capstone states that "absolute magnitude of the incidence estimates is also sensitive to the choice of Switzerland as the reference". It adds that the random effect "may capture not only incomplete ascertainment but also residual differences in transmission, population structure, vaccination history, diagnostic intensity, reporting requirements and healthcare seeking" (</w:t>
      </w:r>
      <w:hyperlink r:id="rId6" w:history="1">
        <w:r>
          <w:rPr>
            <w:rStyle w:val="Hyperlink"/>
          </w:rPr>
          <w:t xml:space="preserve">Nature Medicine 2026</w:t>
        </w:r>
      </w:hyperlink>
      <w:r>
        <w:t xml:space="preserve">).</w:t>
      </w:r>
    </w:p>
    <w:p>
      <w:pPr>
        <w:pStyle w:val="ListParagraph"/>
        <w:numPr>
          <w:ilvl w:val="0"/>
          <w:numId w:val="13"/>
        </w:numPr>
      </w:pPr>
      <w:r>
        <w:rPr>
          <w:b/>
        </w:rPr>
        <w:t xml:space="preserve">GBD's own aggregate comparison.</w:t>
      </w:r>
      <w:r>
        <w:t xml:space="preserve"> 163,454 reported cases vs 18.9 million estimated in 2023, an aggregate ratio of about 0.9% (c), close to your 0.6% median.</w:t>
      </w:r>
    </w:p>
    <w:p>
      <w:pPr>
        <w:pStyle w:val="ListParagraph"/>
        <w:numPr>
          <w:ilvl w:val="0"/>
          <w:numId w:val="13"/>
        </w:numPr>
      </w:pPr>
      <w:r>
        <w:rPr>
          <w:b/>
        </w:rPr>
        <w:t xml:space="preserve">Within-country swings (134×).</w:t>
      </w:r>
      <w:r>
        <w:t xml:space="preserve"> These come from notifications swinging with epidemic cycles, outbreaks and reporting changes while GBD stays smooth (see B9). The capstone says the model did not "directly estimate the effects of … the periodicity of pertussis epidemics" (b).</w:t>
      </w:r>
    </w:p>
    <w:p>
      <w:pPr/>
      <w:r>
        <w:rPr>
          <w:b/>
        </w:rPr>
        <w:t xml:space="preserve">Published under-ascertainment estimates (none is a global multiplier):</w:t>
      </w:r>
    </w:p>
    <w:tbl>
      <w:tblPr>
        <w:tblStyle w:val="TableGrid"/>
        <w:tblW w:w="0" w:type="auto"/>
        <w:tblLayout w:type="fixed"/>
        <w:tblLook w:val="04A0" w:firstRow="1" w:lastRow="0" w:firstColumn="0" w:lastColumn="0" w:noHBand="0" w:noVBand="1"/>
      </w:tblPr>
      <w:tblGrid>
        <w:gridCol w:w="2550"/>
        <w:gridCol w:w="1225"/>
        <w:gridCol w:w="1900"/>
        <w:gridCol w:w="3685"/>
      </w:tblGrid>
      <w:tr>
        <w:trPr>
          <w:tblHeader/>
        </w:trPr>
        <w:tc>
          <w:tcPr>
            <w:tcW w:w="2550" w:type="dxa"/>
            <w:shd w:val="clear" w:color="auto" w:fill="F2F2F2"/>
          </w:tcPr>
          <w:p>
            <w:pPr/>
            <w:r>
              <w:t xml:space="preserve">Study</w:t>
            </w:r>
          </w:p>
        </w:tc>
        <w:tc>
          <w:tcPr>
            <w:tcW w:w="1225" w:type="dxa"/>
            <w:shd w:val="clear" w:color="auto" w:fill="F2F2F2"/>
          </w:tcPr>
          <w:p>
            <w:pPr/>
            <w:r>
              <w:t xml:space="preserve">Setting</w:t>
            </w:r>
          </w:p>
        </w:tc>
        <w:tc>
          <w:tcPr>
            <w:tcW w:w="1900" w:type="dxa"/>
            <w:shd w:val="clear" w:color="auto" w:fill="F2F2F2"/>
          </w:tcPr>
          <w:p>
            <w:pPr/>
            <w:r>
              <w:t xml:space="preserve">Method</w:t>
            </w:r>
          </w:p>
        </w:tc>
        <w:tc>
          <w:tcPr>
            <w:tcW w:w="3685" w:type="dxa"/>
            <w:shd w:val="clear" w:color="auto" w:fill="F2F2F2"/>
          </w:tcPr>
          <w:p>
            <w:pPr/>
            <w:r>
              <w:t xml:space="preserve">Ratio (true ÷ reported)</w:t>
            </w:r>
          </w:p>
        </w:tc>
      </w:tr>
      <w:tr>
        <w:tc>
          <w:tcPr>
            <w:tcW w:w="2550" w:type="dxa"/>
          </w:tcPr>
          <w:p>
            <w:pPr/>
            <w:hyperlink r:id="rId8" w:history="1">
              <w:r>
                <w:rPr>
                  <w:rStyle w:val="Hyperlink"/>
                </w:rPr>
                <w:t xml:space="preserve">Sutter et al. 1992, JAMA</w:t>
              </w:r>
            </w:hyperlink>
            <w:r>
              <w:t xml:space="preserve"> (PMID 1309387; abstract only)</w:t>
            </w:r>
          </w:p>
        </w:tc>
        <w:tc>
          <w:tcPr>
            <w:tcW w:w="1225" w:type="dxa"/>
          </w:tcPr>
          <w:p>
            <w:pPr/>
            <w:r>
              <w:t xml:space="preserve">USA 1985–88</w:t>
            </w:r>
          </w:p>
        </w:tc>
        <w:tc>
          <w:tcPr>
            <w:tcW w:w="1900" w:type="dxa"/>
          </w:tcPr>
          <w:p>
            <w:pPr/>
            <w:r>
              <w:t xml:space="preserve">Capture–recapture of hospitalizations and deaths</w:t>
            </w:r>
          </w:p>
        </w:tc>
        <w:tc>
          <w:tcPr>
            <w:tcW w:w="3685" w:type="dxa"/>
          </w:tcPr>
          <w:p>
            <w:pPr/>
            <w:r>
              <w:t xml:space="preserve">Hospitalization reporting 32% complete, deaths 33%, so about 3× for severe disease</w:t>
            </w:r>
          </w:p>
        </w:tc>
      </w:tr>
      <w:tr>
        <w:tc>
          <w:tcPr>
            <w:tcW w:w="2550" w:type="dxa"/>
          </w:tcPr>
          <w:p>
            <w:pPr/>
            <w:hyperlink r:id="rId7" w:history="1">
              <w:r>
                <w:rPr>
                  <w:rStyle w:val="Hyperlink"/>
                </w:rPr>
                <w:t xml:space="preserve">Dai et al. 2024, Microorganisms</w:t>
              </w:r>
            </w:hyperlink>
            <w:r>
              <w:t xml:space="preserve"> (doi:10.3390/microorganisms12112186)</w:t>
            </w:r>
          </w:p>
        </w:tc>
        <w:tc>
          <w:tcPr>
            <w:tcW w:w="1225" w:type="dxa"/>
          </w:tcPr>
          <w:p>
            <w:pPr/>
            <w:r>
              <w:t xml:space="preserve">Yiwu, Zhejiang, China, 2021–22</w:t>
            </w:r>
          </w:p>
        </w:tc>
        <w:tc>
          <w:tcPr>
            <w:tcW w:w="1900" w:type="dxa"/>
          </w:tcPr>
          <w:p>
            <w:pPr/>
            <w:r>
              <w:t xml:space="preserve">Active population surveillance with PCR or culture</w:t>
            </w:r>
          </w:p>
        </w:tc>
        <w:tc>
          <w:tcPr>
            <w:tcW w:w="3685" w:type="dxa"/>
          </w:tcPr>
          <w:p>
            <w:pPr/>
            <w:r>
              <w:t xml:space="preserve">About 33×: 108.3 vs 3.24 per 100,000</w:t>
            </w:r>
          </w:p>
        </w:tc>
      </w:tr>
      <w:tr>
        <w:tc>
          <w:tcPr>
            <w:tcW w:w="2550" w:type="dxa"/>
          </w:tcPr>
          <w:p>
            <w:pPr/>
            <w:hyperlink r:id="rId26" w:history="1">
              <w:r>
                <w:rPr>
                  <w:rStyle w:val="Hyperlink"/>
                </w:rPr>
                <w:t xml:space="preserve">Chen et al. 2022, Front Public Health</w:t>
              </w:r>
            </w:hyperlink>
            <w:r>
              <w:t xml:space="preserve"> (doi:10.3389/fpubh.2022.1054617)</w:t>
            </w:r>
          </w:p>
        </w:tc>
        <w:tc>
          <w:tcPr>
            <w:tcW w:w="1225" w:type="dxa"/>
          </w:tcPr>
          <w:p>
            <w:pPr/>
            <w:r>
              <w:t xml:space="preserve">Jiangsu, China, ages 15+, 2018–21</w:t>
            </w:r>
          </w:p>
        </w:tc>
        <w:tc>
          <w:tcPr>
            <w:tcW w:w="1900" w:type="dxa"/>
          </w:tcPr>
          <w:p>
            <w:pPr/>
            <w:r>
              <w:t xml:space="preserve">Anti-PT IgG serosurvey</w:t>
            </w:r>
          </w:p>
        </w:tc>
        <w:tc>
          <w:tcPr>
            <w:tcW w:w="3685" w:type="dxa"/>
          </w:tcPr>
          <w:p>
            <w:pPr/>
            <w:r>
              <w:t xml:space="preserve">Infection incidence 18 per 100 a year; "a high rate of under-reporting". Infection, not disease, so not comparable to GBD's case definition</w:t>
            </w:r>
          </w:p>
        </w:tc>
      </w:tr>
      <w:tr>
        <w:tc>
          <w:tcPr>
            <w:tcW w:w="2550" w:type="dxa"/>
          </w:tcPr>
          <w:p>
            <w:pPr/>
            <w:r>
              <w:t xml:space="preserve">GBD 2023 implied (your data)</w:t>
            </w:r>
          </w:p>
        </w:tc>
        <w:tc>
          <w:tcPr>
            <w:tcW w:w="1225" w:type="dxa"/>
          </w:tcPr>
          <w:p>
            <w:pPr/>
            <w:r>
              <w:t xml:space="preserve">204 countries</w:t>
            </w:r>
          </w:p>
        </w:tc>
        <w:tc>
          <w:tcPr>
            <w:tcW w:w="1900" w:type="dxa"/>
          </w:tcPr>
          <w:p>
            <w:pPr/>
            <w:r>
              <w:t xml:space="preserve">Model</w:t>
            </w:r>
          </w:p>
        </w:tc>
        <w:tc>
          <w:tcPr>
            <w:tcW w:w="3685" w:type="dxa"/>
          </w:tcPr>
          <w:p>
            <w:pPr/>
            <w:r>
              <w:t xml:space="preserve">Median 1/0.006, about 170×; Europe about 40×; Africa about 430× (c)</w:t>
            </w:r>
          </w:p>
        </w:tc>
      </w:tr>
    </w:tbl>
    <w:p>
      <w:pPr/>
      <w:r>
        <w:t xml:space="preserve">GBD's implied multipliers sit between the clinical-disease studies (3–33×) and serological infection estimates. The </w:t>
      </w:r>
      <w:hyperlink r:id="rId14" w:history="1">
        <w:r>
          <w:rPr>
            <w:rStyle w:val="Hyperlink"/>
          </w:rPr>
          <w:t xml:space="preserve">ECDC 2024 report</w:t>
        </w:r>
      </w:hyperlink>
      <w:r>
        <w:t xml:space="preserve"> says the burden "in Europe is still considerably underestimated" but gives no multiplier. I could not open Yeung et al. 2017 (the WHO pertussis model) or Crowcroft et al. 2003; both sites refused automated access.</w:t>
      </w:r>
    </w:p>
    <w:p>
      <w:pPr>
        <w:pStyle w:val="Heading3"/>
      </w:pPr>
      <w:r>
        <w:t xml:space="preserve">B2. Tetanus reports often exceed GBD's estimate</w:t>
      </w:r>
    </w:p>
    <w:p>
      <w:pPr/>
      <w:r>
        <w:rPr>
          <w:b/>
        </w:rPr>
        <w:t xml:space="preserve">Status: Plausible mechanism (b).</w:t>
      </w:r>
      <w:r>
        <w:t xml:space="preserve"> No source discusses GBD-vs-WHO tetanus specifically.</w:t>
      </w:r>
    </w:p>
    <w:p>
      <w:pPr>
        <w:pStyle w:val="ListParagraph"/>
        <w:numPr>
          <w:ilvl w:val="0"/>
          <w:numId w:val="14"/>
        </w:numPr>
      </w:pPr>
      <w:r>
        <w:rPr>
          <w:b/>
        </w:rPr>
        <w:t xml:space="preserve">GBD does not anchor tetanus to notifications.</w:t>
      </w:r>
      <w:r>
        <w:t xml:space="preserve"> Incidence = CODEm deaths ÷ DisMod CFR, and the notification floor that diphtheria and pertussis received in GBD 2023 was not applied (nonfatal appendix pp 1204–1206). Wherever reported cases × the true CFR exceed GBD's modelled deaths, reports will exceed GBD.</w:t>
      </w:r>
    </w:p>
    <w:p>
      <w:pPr>
        <w:pStyle w:val="ListParagraph"/>
        <w:numPr>
          <w:ilvl w:val="0"/>
          <w:numId w:val="14"/>
        </w:numPr>
      </w:pPr>
      <w:r>
        <w:rPr>
          <w:b/>
        </w:rPr>
        <w:t xml:space="preserve">CFR updates push incidence down.</w:t>
      </w:r>
      <w:r>
        <w:t xml:space="preserve"> The GBD 2023 tetanus CFR review raised CFRs "substantially" in south Asia and north Africa and the Middle East, and a higher CFR means lower incidence for the same deaths.</w:t>
      </w:r>
    </w:p>
    <w:p>
      <w:pPr>
        <w:pStyle w:val="ListParagraph"/>
        <w:numPr>
          <w:ilvl w:val="0"/>
          <w:numId w:val="14"/>
        </w:numPr>
      </w:pPr>
      <w:r>
        <w:rPr>
          <w:b/>
        </w:rPr>
        <w:t xml:space="preserve">WHO counts are looser.</w:t>
      </w:r>
      <w:r>
        <w:t xml:space="preserve"> WHO counts "probable and confirmed inpatient cases". A probable case is clinical only, with no physician confirmation (</w:t>
      </w:r>
      <w:hyperlink r:id="rId22" w:history="1">
        <w:r>
          <w:rPr>
            <w:rStyle w:val="Hyperlink"/>
          </w:rPr>
          <w:t xml:space="preserve">non-neonatal tetanus standard</w:t>
        </w:r>
      </w:hyperlink>
      <w:r>
        <w:t xml:space="preserve">). Some over-counting through misclassification is possible, but no source quantifies it.</w:t>
      </w:r>
    </w:p>
    <w:p>
      <w:pPr>
        <w:pStyle w:val="ListParagraph"/>
        <w:numPr>
          <w:ilvl w:val="0"/>
          <w:numId w:val="14"/>
        </w:numPr>
      </w:pPr>
      <w:r>
        <w:rPr>
          <w:b/>
        </w:rPr>
        <w:t xml:space="preserve">USA (27 reported vs 17 modelled, 2023).</w:t>
      </w:r>
      <w:r>
        <w:t xml:space="preserve"> This fits incidence derived from a handful of VR tetanus deaths divided by a CFR (b/c). US surveillance captures non-fatal cases directly, so here the notification is probably the better count.</w:t>
      </w:r>
    </w:p>
    <w:p>
      <w:pPr>
        <w:pStyle w:val="ListParagraph"/>
        <w:numPr>
          <w:ilvl w:val="0"/>
          <w:numId w:val="14"/>
        </w:numPr>
      </w:pPr>
      <w:r>
        <w:rPr>
          <w:b/>
        </w:rPr>
        <w:t xml:space="preserve">Uganda, Kenya, Angola, CAR (2.4–3.5×).</w:t>
      </w:r>
      <w:r>
        <w:t xml:space="preserve"> GBD deaths in these countries rest on verbal autopsy and covariates. A high CFR estimate for low-HAQ settings would make GBD incidence low (b). I found no country-specific documentation.</w:t>
      </w:r>
    </w:p>
    <w:p>
      <w:pPr>
        <w:pStyle w:val="Heading3"/>
      </w:pPr>
      <w:r>
        <w:t xml:space="preserve">B3. Diphtheria reports often match GBD almost exactly</w:t>
      </w:r>
    </w:p>
    <w:p>
      <w:pPr/>
      <w:r>
        <w:rPr>
          <w:b/>
        </w:rPr>
        <w:t xml:space="preserve">Status: Explained (a).</w:t>
      </w:r>
    </w:p>
    <w:p>
      <w:pPr/>
      <w:r>
        <w:t xml:space="preserve">New in GBD 2023: "For location-years where modelled incidence was lower than JRF case notifications, we replaced modelled estimates with case notifications" (nonfatal appendix pp 481–482). Your 8% of country-years within 5% (19% in Europe) are almost certainly these floored location-years. The exact count is not published for diphtheria; for pertussis it is 60 location-years.</w:t>
      </w:r>
    </w:p>
    <w:p>
      <w:pPr/>
      <w:r>
        <w:rPr>
          <w:b/>
        </w:rPr>
        <w:t xml:space="preserve">Yet some reports exceed GBD (status: partly documented).</w:t>
      </w:r>
      <w:r>
        <w:t xml:space="preserve"> With a floor in place, GBD should never fall below the JRF count it used. Excesses therefore point to JRF values added or revised after GBD's data freeze (c). Some excesses in country-years where GBD estimates under 10 cases are also below your threshold. Check the GBD 2023 input data in the </w:t>
      </w:r>
      <w:hyperlink r:id="rId27" w:history="1">
        <w:r>
          <w:rPr>
            <w:rStyle w:val="Hyperlink"/>
          </w:rPr>
          <w:t xml:space="preserve">GBD Sources Tool</w:t>
        </w:r>
      </w:hyperlink>
      <w:r>
        <w:t xml:space="preserve"> for these location-years.</w:t>
      </w:r>
    </w:p>
    <w:tbl>
      <w:tblPr>
        <w:tblStyle w:val="TableGrid"/>
        <w:tblW w:w="0" w:type="auto"/>
        <w:tblLayout w:type="fixed"/>
        <w:tblLook w:val="04A0" w:firstRow="1" w:lastRow="0" w:firstColumn="0" w:lastColumn="0" w:noHBand="0" w:noVBand="1"/>
      </w:tblPr>
      <w:tblGrid>
        <w:gridCol w:w="2196"/>
        <w:gridCol w:w="2935"/>
        <w:gridCol w:w="4229"/>
      </w:tblGrid>
      <w:tr>
        <w:trPr>
          <w:tblHeader/>
        </w:trPr>
        <w:tc>
          <w:tcPr>
            <w:tcW w:w="2196" w:type="dxa"/>
            <w:shd w:val="clear" w:color="auto" w:fill="F2F2F2"/>
          </w:tcPr>
          <w:p>
            <w:pPr/>
            <w:r>
              <w:t xml:space="preserve">Country</w:t>
            </w:r>
          </w:p>
        </w:tc>
        <w:tc>
          <w:tcPr>
            <w:tcW w:w="2935" w:type="dxa"/>
            <w:shd w:val="clear" w:color="auto" w:fill="F2F2F2"/>
          </w:tcPr>
          <w:p>
            <w:pPr/>
            <w:r>
              <w:t xml:space="preserve">Documented outbreak?</w:t>
            </w:r>
          </w:p>
        </w:tc>
        <w:tc>
          <w:tcPr>
            <w:tcW w:w="4229" w:type="dxa"/>
            <w:shd w:val="clear" w:color="auto" w:fill="F2F2F2"/>
          </w:tcPr>
          <w:p>
            <w:pPr/>
            <w:r>
              <w:t xml:space="preserve">Note</w:t>
            </w:r>
          </w:p>
        </w:tc>
      </w:tr>
      <w:tr>
        <w:tc>
          <w:tcPr>
            <w:tcW w:w="2196" w:type="dxa"/>
          </w:tcPr>
          <w:p>
            <w:pPr/>
            <w:r>
              <w:t xml:space="preserve">Yemen (3.1×)</w:t>
            </w:r>
          </w:p>
        </w:tc>
        <w:tc>
          <w:tcPr>
            <w:tcW w:w="2935" w:type="dxa"/>
          </w:tcPr>
          <w:p>
            <w:pPr/>
            <w:r>
              <w:t xml:space="preserve">Yes, since 2017</w:t>
            </w:r>
          </w:p>
        </w:tc>
        <w:tc>
          <w:tcPr>
            <w:tcW w:w="4229" w:type="dxa"/>
          </w:tcPr>
          <w:p>
            <w:pPr/>
            <w:r>
              <w:t xml:space="preserve">The EMRO monitor gives 7,332 clinically diagnosed cases from week 33 of 2017 to week 30 of 2021 (</w:t>
            </w:r>
            <w:hyperlink r:id="rId28" w:history="1">
              <w:r>
                <w:rPr>
                  <w:rStyle w:val="Hyperlink"/>
                </w:rPr>
                <w:t xml:space="preserve">WHO EMRO</w:t>
              </w:r>
            </w:hyperlink>
            <w:r>
              <w:t xml:space="preserve">). EMRO counted 1,671 suspected cases to 14 Oct 2023 (</w:t>
            </w:r>
            <w:hyperlink r:id="rId9" w:history="1">
              <w:r>
                <w:rPr>
                  <w:rStyle w:val="Hyperlink"/>
                </w:rPr>
                <w:t xml:space="preserve">WHO EMRO 2023</w:t>
              </w:r>
            </w:hyperlink>
            <w:r>
              <w:t xml:space="preserve">). The GHO shows Yemen at 1,516 in 2021 but under 300 in 2022 and 2023, so the JRF series is inconsistent with the outbreak reports (c, </w:t>
            </w:r>
            <w:hyperlink r:id="rId29" w:history="1">
              <w:r>
                <w:rPr>
                  <w:rStyle w:val="Hyperlink"/>
                </w:rPr>
                <w:t xml:space="preserve">GHO API</w:t>
              </w:r>
            </w:hyperlink>
            <w:r>
              <w:t xml:space="preserve">)</w:t>
            </w:r>
          </w:p>
        </w:tc>
      </w:tr>
      <w:tr>
        <w:tc>
          <w:tcPr>
            <w:tcW w:w="2196" w:type="dxa"/>
          </w:tcPr>
          <w:p>
            <w:pPr/>
            <w:r>
              <w:t xml:space="preserve">Nigeria (1.5×)</w:t>
            </w:r>
          </w:p>
        </w:tc>
        <w:tc>
          <w:tcPr>
            <w:tcW w:w="2935" w:type="dxa"/>
          </w:tcPr>
          <w:p>
            <w:pPr/>
            <w:r>
              <w:t xml:space="preserve">Yes, 2022–2025</w:t>
            </w:r>
          </w:p>
        </w:tc>
        <w:tc>
          <w:tcPr>
            <w:tcW w:w="4229" w:type="dxa"/>
          </w:tcPr>
          <w:p>
            <w:pPr/>
            <w:r>
              <w:t xml:space="preserve">27,078 suspected cases from week 19 of 2022 to week 6 of 2024, of which 16,603 were confirmed, mostly clinically compatible (</w:t>
            </w:r>
            <w:hyperlink r:id="rId30" w:history="1">
              <w:r>
                <w:rPr>
                  <w:rStyle w:val="Hyperlink"/>
                </w:rPr>
                <w:t xml:space="preserve">ReliefWeb/WHO</w:t>
              </w:r>
            </w:hyperlink>
            <w:r>
              <w:t xml:space="preserve">). JRF: 14,163 (2023), 10,595 (2024), 15,273 (2025)</w:t>
            </w:r>
          </w:p>
        </w:tc>
      </w:tr>
      <w:tr>
        <w:tc>
          <w:tcPr>
            <w:tcW w:w="2196" w:type="dxa"/>
          </w:tcPr>
          <w:p>
            <w:pPr/>
            <w:r>
              <w:t xml:space="preserve">Ethiopia (1.4×)</w:t>
            </w:r>
          </w:p>
        </w:tc>
        <w:tc>
          <w:tcPr>
            <w:tcW w:w="2935" w:type="dxa"/>
          </w:tcPr>
          <w:p>
            <w:pPr/>
            <w:r>
              <w:t xml:space="preserve">Not found</w:t>
            </w:r>
          </w:p>
        </w:tc>
        <w:tc>
          <w:tcPr>
            <w:tcW w:w="4229" w:type="dxa"/>
          </w:tcPr>
          <w:p>
            <w:pPr/>
            <w:r>
              <w:t xml:space="preserve">JRF shows 7,184 (2019), 5,267 (2020), 4,453 (2021) and 3,946 (2022). I found no outbreak report</w:t>
            </w:r>
          </w:p>
        </w:tc>
      </w:tr>
      <w:tr>
        <w:tc>
          <w:tcPr>
            <w:tcW w:w="2196" w:type="dxa"/>
          </w:tcPr>
          <w:p>
            <w:pPr/>
            <w:r>
              <w:t xml:space="preserve">Laos (1.4×)</w:t>
            </w:r>
          </w:p>
        </w:tc>
        <w:tc>
          <w:tcPr>
            <w:tcW w:w="2935" w:type="dxa"/>
          </w:tcPr>
          <w:p>
            <w:pPr/>
            <w:r>
              <w:t xml:space="preserve">Not found</w:t>
            </w:r>
          </w:p>
        </w:tc>
        <w:tc>
          <w:tcPr>
            <w:tcW w:w="4229" w:type="dxa"/>
          </w:tcPr>
          <w:p>
            <w:pPr/>
            <w:r>
              <w:t xml:space="preserve">Searched; no primary source opened</w:t>
            </w:r>
          </w:p>
        </w:tc>
      </w:tr>
      <w:tr>
        <w:tc>
          <w:tcPr>
            <w:tcW w:w="2196" w:type="dxa"/>
          </w:tcPr>
          <w:p>
            <w:pPr/>
            <w:r>
              <w:t xml:space="preserve">Switzerland (1.3×)</w:t>
            </w:r>
          </w:p>
        </w:tc>
        <w:tc>
          <w:tcPr>
            <w:tcW w:w="2935" w:type="dxa"/>
          </w:tcPr>
          <w:p>
            <w:pPr/>
            <w:r>
              <w:t xml:space="preserve">Yes, 2022 asylum centres</w:t>
            </w:r>
          </w:p>
        </w:tc>
        <w:tc>
          <w:tcPr>
            <w:tcW w:w="4229" w:type="dxa"/>
          </w:tcPr>
          <w:p>
            <w:pPr/>
            <w:r>
              <w:t xml:space="preserve">Mostly </w:t>
            </w:r>
            <w:r>
              <w:rPr>
                <w:b/>
              </w:rPr>
              <w:t xml:space="preserve">cutaneous</w:t>
            </w:r>
            <w:r>
              <w:t xml:space="preserve"> cases and carriers in minors from Afghanistan (</w:t>
            </w:r>
            <w:hyperlink r:id="rId31" w:history="1">
              <w:r>
                <w:rPr>
                  <w:rStyle w:val="Hyperlink"/>
                </w:rPr>
                <w:t xml:space="preserve">Brockhaus et al. 2024</w:t>
              </w:r>
            </w:hyperlink>
            <w:r>
              <w:t xml:space="preserve">; </w:t>
            </w:r>
            <w:hyperlink r:id="rId32" w:history="1">
              <w:r>
                <w:rPr>
                  <w:rStyle w:val="Hyperlink"/>
                </w:rPr>
                <w:t xml:space="preserve">Kofler et al. 2022</w:t>
              </w:r>
            </w:hyperlink>
            <w:r>
              <w:t xml:space="preserve">)</w:t>
            </w:r>
          </w:p>
        </w:tc>
      </w:tr>
    </w:tbl>
    <w:p>
      <w:pPr/>
      <w:r>
        <w:t xml:space="preserve">For Switzerland, a plausible mechanism (b) is that GBD's diphtheria is respiratory, and its CFR review excluded "non-respiratory diphtheria". WHO counts may include cutaneous cases.</w:t>
      </w:r>
    </w:p>
    <w:p>
      <w:pPr>
        <w:pStyle w:val="Heading3"/>
      </w:pPr>
      <w:r>
        <w:t xml:space="preserve">B4. Abrupt breaks in single countries</w:t>
      </w:r>
    </w:p>
    <w:p>
      <w:pPr/>
      <w:r>
        <w:rPr>
          <w:b/>
        </w:rPr>
        <w:t xml:space="preserve">India, tetanus. Status: data artefact confirmed (c); not documented by WHO.</w:t>
      </w:r>
    </w:p>
    <w:tbl>
      <w:tblPr>
        <w:tblStyle w:val="TableGrid"/>
        <w:tblW w:w="0" w:type="auto"/>
        <w:tblLayout w:type="fixed"/>
        <w:tblLook w:val="04A0" w:firstRow="1" w:lastRow="0" w:firstColumn="0" w:lastColumn="0" w:noHBand="0" w:noVBand="1"/>
      </w:tblPr>
      <w:tblGrid>
        <w:gridCol w:w="993"/>
        <w:gridCol w:w="3936"/>
        <w:gridCol w:w="4429"/>
      </w:tblGrid>
      <w:tr>
        <w:trPr>
          <w:tblHeader/>
        </w:trPr>
        <w:tc>
          <w:tcPr>
            <w:tcW w:w="993" w:type="dxa"/>
            <w:shd w:val="clear" w:color="auto" w:fill="F2F2F2"/>
          </w:tcPr>
          <w:p>
            <w:pPr/>
            <w:r>
              <w:t xml:space="preserve">Year</w:t>
            </w:r>
          </w:p>
        </w:tc>
        <w:tc>
          <w:tcPr>
            <w:tcW w:w="3936" w:type="dxa"/>
            <w:shd w:val="clear" w:color="auto" w:fill="F2F2F2"/>
          </w:tcPr>
          <w:p>
            <w:pPr/>
            <w:r>
              <w:t xml:space="preserve">Total tetanus (WHS3_46)</w:t>
            </w:r>
          </w:p>
        </w:tc>
        <w:tc>
          <w:tcPr>
            <w:tcW w:w="4429" w:type="dxa"/>
            <w:shd w:val="clear" w:color="auto" w:fill="F2F2F2"/>
          </w:tcPr>
          <w:p>
            <w:pPr/>
            <w:r>
              <w:t xml:space="preserve">Neonatal tetanus (WHS3_56)</w:t>
            </w:r>
          </w:p>
        </w:tc>
      </w:tr>
      <w:tr>
        <w:tc>
          <w:tcPr>
            <w:tcW w:w="993" w:type="dxa"/>
          </w:tcPr>
          <w:p>
            <w:pPr/>
            <w:r>
              <w:t xml:space="preserve">2019</w:t>
            </w:r>
          </w:p>
        </w:tc>
        <w:tc>
          <w:tcPr>
            <w:tcW w:w="3936" w:type="dxa"/>
          </w:tcPr>
          <w:p>
            <w:pPr/>
            <w:r>
              <w:t xml:space="preserve">7,071</w:t>
            </w:r>
          </w:p>
        </w:tc>
        <w:tc>
          <w:tcPr>
            <w:tcW w:w="4429" w:type="dxa"/>
          </w:tcPr>
          <w:p>
            <w:pPr/>
            <w:r>
              <w:t xml:space="preserve">35</w:t>
            </w:r>
          </w:p>
        </w:tc>
      </w:tr>
      <w:tr>
        <w:tc>
          <w:tcPr>
            <w:tcW w:w="993" w:type="dxa"/>
          </w:tcPr>
          <w:p>
            <w:pPr/>
            <w:r>
              <w:t xml:space="preserve">2020</w:t>
            </w:r>
          </w:p>
        </w:tc>
        <w:tc>
          <w:tcPr>
            <w:tcW w:w="3936" w:type="dxa"/>
          </w:tcPr>
          <w:p>
            <w:pPr/>
            <w:r>
              <w:t xml:space="preserve">1,361</w:t>
            </w:r>
          </w:p>
        </w:tc>
        <w:tc>
          <w:tcPr>
            <w:tcW w:w="4429" w:type="dxa"/>
          </w:tcPr>
          <w:p>
            <w:pPr/>
            <w:r>
              <w:t xml:space="preserve">162</w:t>
            </w:r>
          </w:p>
        </w:tc>
      </w:tr>
      <w:tr>
        <w:tc>
          <w:tcPr>
            <w:tcW w:w="993" w:type="dxa"/>
          </w:tcPr>
          <w:p>
            <w:pPr/>
            <w:r>
              <w:t xml:space="preserve">2021</w:t>
            </w:r>
          </w:p>
        </w:tc>
        <w:tc>
          <w:tcPr>
            <w:tcW w:w="3936" w:type="dxa"/>
          </w:tcPr>
          <w:p>
            <w:pPr/>
            <w:r>
              <w:t xml:space="preserve">1,240</w:t>
            </w:r>
          </w:p>
        </w:tc>
        <w:tc>
          <w:tcPr>
            <w:tcW w:w="4429" w:type="dxa"/>
          </w:tcPr>
          <w:p>
            <w:pPr/>
            <w:r>
              <w:t xml:space="preserve">81</w:t>
            </w:r>
          </w:p>
        </w:tc>
      </w:tr>
      <w:tr>
        <w:tc>
          <w:tcPr>
            <w:tcW w:w="993" w:type="dxa"/>
          </w:tcPr>
          <w:p>
            <w:pPr/>
            <w:r>
              <w:t xml:space="preserve">2022</w:t>
            </w:r>
          </w:p>
        </w:tc>
        <w:tc>
          <w:tcPr>
            <w:tcW w:w="3936" w:type="dxa"/>
          </w:tcPr>
          <w:p>
            <w:pPr/>
            <w:r>
              <w:t xml:space="preserve">65</w:t>
            </w:r>
          </w:p>
        </w:tc>
        <w:tc>
          <w:tcPr>
            <w:tcW w:w="4429" w:type="dxa"/>
          </w:tcPr>
          <w:p>
            <w:pPr/>
            <w:r>
              <w:t xml:space="preserve">65</w:t>
            </w:r>
          </w:p>
        </w:tc>
      </w:tr>
      <w:tr>
        <w:tc>
          <w:tcPr>
            <w:tcW w:w="993" w:type="dxa"/>
          </w:tcPr>
          <w:p>
            <w:pPr/>
            <w:r>
              <w:t xml:space="preserve">2023</w:t>
            </w:r>
          </w:p>
        </w:tc>
        <w:tc>
          <w:tcPr>
            <w:tcW w:w="3936" w:type="dxa"/>
          </w:tcPr>
          <w:p>
            <w:pPr/>
            <w:r>
              <w:t xml:space="preserve">62</w:t>
            </w:r>
          </w:p>
        </w:tc>
        <w:tc>
          <w:tcPr>
            <w:tcW w:w="4429" w:type="dxa"/>
          </w:tcPr>
          <w:p>
            <w:pPr/>
            <w:r>
              <w:t xml:space="preserve">62</w:t>
            </w:r>
          </w:p>
        </w:tc>
      </w:tr>
      <w:tr>
        <w:tc>
          <w:tcPr>
            <w:tcW w:w="993" w:type="dxa"/>
          </w:tcPr>
          <w:p>
            <w:pPr/>
            <w:r>
              <w:t xml:space="preserve">2024</w:t>
            </w:r>
          </w:p>
        </w:tc>
        <w:tc>
          <w:tcPr>
            <w:tcW w:w="3936" w:type="dxa"/>
          </w:tcPr>
          <w:p>
            <w:pPr/>
            <w:r>
              <w:t xml:space="preserve">70</w:t>
            </w:r>
          </w:p>
        </w:tc>
        <w:tc>
          <w:tcPr>
            <w:tcW w:w="4429" w:type="dxa"/>
          </w:tcPr>
          <w:p>
            <w:pPr/>
            <w:r>
              <w:t xml:space="preserve">70</w:t>
            </w:r>
          </w:p>
        </w:tc>
      </w:tr>
      <w:tr>
        <w:tc>
          <w:tcPr>
            <w:tcW w:w="993" w:type="dxa"/>
          </w:tcPr>
          <w:p>
            <w:pPr/>
            <w:r>
              <w:t xml:space="preserve">2025</w:t>
            </w:r>
          </w:p>
        </w:tc>
        <w:tc>
          <w:tcPr>
            <w:tcW w:w="3936" w:type="dxa"/>
          </w:tcPr>
          <w:p>
            <w:pPr/>
            <w:r>
              <w:t xml:space="preserve">38</w:t>
            </w:r>
          </w:p>
        </w:tc>
        <w:tc>
          <w:tcPr>
            <w:tcW w:w="4429" w:type="dxa"/>
          </w:tcPr>
          <w:p>
            <w:pPr/>
            <w:r>
              <w:t xml:space="preserve">38</w:t>
            </w:r>
          </w:p>
        </w:tc>
      </w:tr>
    </w:tbl>
    <w:p>
      <w:pPr/>
      <w:r>
        <w:t xml:space="preserve">Source: </w:t>
      </w:r>
      <w:hyperlink r:id="rId11" w:history="1">
        <w:r>
          <w:rPr>
            <w:rStyle w:val="Hyperlink"/>
          </w:rPr>
          <w:t xml:space="preserve">GHO API</w:t>
        </w:r>
      </w:hyperlink>
      <w:r>
        <w:t xml:space="preserve">, read 22 Oct 2026. From 2022, India's "total" equals its neonatal count. Non-neonatal tetanus is effectively unreported in the JRF series. The 2022 NT value of 65 matches </w:t>
      </w:r>
      <w:hyperlink r:id="rId23" w:history="1">
        <w:r>
          <w:rPr>
            <w:rStyle w:val="Hyperlink"/>
          </w:rPr>
          <w:t xml:space="preserve">MMWR 2024</w:t>
        </w:r>
      </w:hyperlink>
      <w:r>
        <w:t xml:space="preserve">. I found no WHO or Indian document explaining the change, so treat India total tetanus from 2020 onward as not comparable.</w:t>
      </w:r>
    </w:p>
    <w:p>
      <w:pPr/>
      <w:r>
        <w:rPr>
          <w:b/>
        </w:rPr>
        <w:t xml:space="preserve">Pakistan, pertussis. Status: not found (WHO data confirm the series is erratic).</w:t>
      </w:r>
      <w:r>
        <w:t xml:space="preserve"> The GHO series is 1986: 53,835; 1987: 47,676; 1988: 62,382; </w:t>
      </w:r>
      <w:r>
        <w:rPr>
          <w:b/>
        </w:rPr>
        <w:t xml:space="preserve">1989: 1,324</w:t>
      </w:r>
      <w:r>
        <w:t xml:space="preserve">; </w:t>
      </w:r>
      <w:r>
        <w:rPr>
          <w:b/>
        </w:rPr>
        <w:t xml:space="preserve">1990: 24,545</w:t>
      </w:r>
      <w:r>
        <w:t xml:space="preserve">; </w:t>
      </w:r>
      <w:r>
        <w:rPr>
          <w:b/>
        </w:rPr>
        <w:t xml:space="preserve">1991: 140</w:t>
      </w:r>
      <w:r>
        <w:t xml:space="preserve">; then 103–473 a year to 2000 (</w:t>
      </w:r>
      <w:hyperlink r:id="rId5" w:history="1">
        <w:r>
          <w:rPr>
            <w:rStyle w:val="Hyperlink"/>
          </w:rPr>
          <w:t xml:space="preserve">GHO API</w:t>
        </w:r>
      </w:hyperlink>
      <w:r>
        <w:t xml:space="preserve">). The collapse begins in 1989, not 1991, and 1990 looks like an isolated revert to the old system. That suggests a change of reporting source or definition around 1989 (c). I found no documentation. The series is pre-JRF (1998), so WHO may hold provenance notes (vpdata@who.int).</w:t>
      </w:r>
    </w:p>
    <w:p>
      <w:pPr>
        <w:pStyle w:val="Heading3"/>
      </w:pPr>
      <w:r>
        <w:t xml:space="preserve">B5. China, pertussis</w:t>
      </w:r>
    </w:p>
    <w:p>
      <w:pPr/>
      <w:r>
        <w:rPr>
          <w:b/>
        </w:rPr>
        <w:t xml:space="preserve">Status: Explained (a) as a mix of diagnostic and case-definition change plus genuine resurgence.</w:t>
      </w:r>
    </w:p>
    <w:p>
      <w:pPr>
        <w:pStyle w:val="ListParagraph"/>
        <w:numPr>
          <w:ilvl w:val="0"/>
          <w:numId w:val="15"/>
        </w:numPr>
      </w:pPr>
      <w:r>
        <w:rPr>
          <w:b/>
        </w:rPr>
        <w:t xml:space="preserve">Diagnostic criteria changed twice.</w:t>
      </w:r>
      <w:r>
        <w:t xml:space="preserve"> A 2017 revision added PCR as accepted confirmation. The 2023 national protocol, effective in the 2024 surveillance year, broadened clinical criteria and molecular confirmation. In Chongqing the 2024 revision was associated with "an immediate 26.5-fold increase in pertussis notifications" (IRR 26.46). The authors read the surge as "both substantially enhanced surveillance sensitivity and a genuine underlying increase" (</w:t>
      </w:r>
      <w:hyperlink r:id="rId12" w:history="1">
        <w:r>
          <w:rPr>
            <w:rStyle w:val="Hyperlink"/>
          </w:rPr>
          <w:t xml:space="preserve">Chongqing 2013–2024, Front Public Health 2025, doi:10.3389/fpubh.2025.1620429</w:t>
        </w:r>
      </w:hyperlink>
      <w:r>
        <w:t xml:space="preserve">).</w:t>
      </w:r>
    </w:p>
    <w:p>
      <w:pPr>
        <w:pStyle w:val="ListParagraph"/>
        <w:numPr>
          <w:ilvl w:val="0"/>
          <w:numId w:val="15"/>
        </w:numPr>
      </w:pPr>
      <w:r>
        <w:rPr>
          <w:b/>
        </w:rPr>
        <w:t xml:space="preserve">Growth before 2024.</w:t>
      </w:r>
      <w:r>
        <w:t xml:space="preserve"> National notified incidence rose from 0.25 per 100,000 (2014) to 2.11 (2019) and 2.89 (2023) (</w:t>
      </w:r>
      <w:hyperlink r:id="rId7" w:history="1">
        <w:r>
          <w:rPr>
            <w:rStyle w:val="Hyperlink"/>
          </w:rPr>
          <w:t xml:space="preserve">Dai et al. 2024</w:t>
        </w:r>
      </w:hyperlink>
      <w:r>
        <w:t xml:space="preserve">). A Jinan hospital study credits wider PCR use after COVID-19 and a shift "from passive to active monitoring" (</w:t>
      </w:r>
      <w:hyperlink r:id="rId33" w:history="1">
        <w:r>
          <w:rPr>
            <w:rStyle w:val="Hyperlink"/>
          </w:rPr>
          <w:t xml:space="preserve">Liu et al. 2025, doi:10.3389/fpubh.2025.1657953</w:t>
        </w:r>
      </w:hyperlink>
      <w:r>
        <w:t xml:space="preserve">).</w:t>
      </w:r>
    </w:p>
    <w:p>
      <w:pPr>
        <w:pStyle w:val="ListParagraph"/>
        <w:numPr>
          <w:ilvl w:val="0"/>
          <w:numId w:val="15"/>
        </w:numPr>
      </w:pPr>
      <w:r>
        <w:rPr>
          <w:b/>
        </w:rPr>
        <w:t xml:space="preserve">Macrolide resistance.</w:t>
      </w:r>
      <w:r>
        <w:t xml:space="preserve"> In that hospital, the A2047G resistance mutation rose from 0.24% (2022) to 42.86% (2024). The authors call it "a key driver", but they did no virulence typing (b).</w:t>
      </w:r>
    </w:p>
    <w:p>
      <w:pPr>
        <w:pStyle w:val="ListParagraph"/>
        <w:numPr>
          <w:ilvl w:val="0"/>
          <w:numId w:val="15"/>
        </w:numPr>
      </w:pPr>
      <w:r>
        <w:rPr>
          <w:b/>
        </w:rPr>
        <w:t xml:space="preserve">Why GBD diverges.</w:t>
      </w:r>
      <w:r>
        <w:t xml:space="preserve"> GBD's China estimate falls because it is driven by DTP3 coverage and a fixed random effect, so ascertainment changes go into the residual. Your 0.16% to 6.3% rise is consistent with improved ascertainment (b/c).</w:t>
      </w:r>
    </w:p>
    <w:p>
      <w:pPr>
        <w:pStyle w:val="Heading3"/>
      </w:pPr>
      <w:r>
        <w:t xml:space="preserve">B6. Brazil, pertussis</w:t>
      </w:r>
    </w:p>
    <w:p>
      <w:pPr/>
      <w:r>
        <w:rPr>
          <w:b/>
        </w:rPr>
        <w:t xml:space="preserve">Status: Partly documented. The notification fall is documented (a, partially); the GBD rise has a plausible mechanism (b).</w:t>
      </w:r>
    </w:p>
    <w:p>
      <w:pPr>
        <w:pStyle w:val="ListParagraph"/>
        <w:numPr>
          <w:ilvl w:val="0"/>
          <w:numId w:val="16"/>
        </w:numPr>
      </w:pPr>
      <w:r>
        <w:rPr>
          <w:b/>
        </w:rPr>
        <w:t xml:space="preserve">Notifications.</w:t>
      </w:r>
      <w:r>
        <w:t xml:space="preserve"> Brazil's 2014 peak (4.03 per 100,000) and the 2015 fall in infants (175.2 to 64.9 per 100,000) are documented. The authors suggest cyclicity and "an impact may be suspected" from maternal dTpa, introduced late 2014 with coverage of 9.2% in 2014 and 40.4% in 2015 (</w:t>
      </w:r>
      <w:hyperlink r:id="rId13" w:history="1">
        <w:r>
          <w:rPr>
            <w:rStyle w:val="Hyperlink"/>
          </w:rPr>
          <w:t xml:space="preserve">Barros et al. 2019, doi:10.1080/21645515.2019.1634991</w:t>
        </w:r>
      </w:hyperlink>
      <w:r>
        <w:t xml:space="preserve">). PCR was rolled out unevenly by state (São Paulo 2009; Paraná and Bahia 2014). PAHO reports Brazil's 2024 total as its highest since 2019 and 2,682 confirmed cases in 2025 (</w:t>
      </w:r>
      <w:hyperlink r:id="rId34" w:history="1">
        <w:r>
          <w:rPr>
            <w:rStyle w:val="Hyperlink"/>
          </w:rPr>
          <w:t xml:space="preserve">PAHO, Mar 2026</w:t>
        </w:r>
      </w:hyperlink>
      <w:r>
        <w:t xml:space="preserve">). I found no source covering 2016–2023 specifically.</w:t>
      </w:r>
    </w:p>
    <w:p>
      <w:pPr>
        <w:pStyle w:val="ListParagraph"/>
        <w:numPr>
          <w:ilvl w:val="0"/>
          <w:numId w:val="16"/>
        </w:numPr>
      </w:pPr>
      <w:r>
        <w:rPr>
          <w:b/>
        </w:rPr>
        <w:t xml:space="preserve">GBD.</w:t>
      </w:r>
      <w:r>
        <w:t xml:space="preserve"> Brazil's WUENIC DTP3 fell from 93% (2014) to 70% (2019) and 68% (2021) (</w:t>
      </w:r>
      <w:hyperlink r:id="rId35" w:history="1">
        <w:r>
          <w:rPr>
            <w:rStyle w:val="Hyperlink"/>
          </w:rPr>
          <w:t xml:space="preserve">GHO WHS4_100</w:t>
        </w:r>
      </w:hyperlink>
      <w:r>
        <w:t xml:space="preserve">). That roughly quadruples the unvaccinated fraction that drives GBD's pertussis regression, consistent with GBD rising 164,000 to 588,000 (b/c). GBD uses its own coverage estimates, which may differ from WUENIC.</w:t>
      </w:r>
    </w:p>
    <w:p>
      <w:pPr>
        <w:pStyle w:val="Heading3"/>
      </w:pPr>
      <w:r>
        <w:t xml:space="preserve">B7. Global pertussis, 2020–2024</w:t>
      </w:r>
    </w:p>
    <w:p>
      <w:pPr/>
      <w:r>
        <w:rPr>
          <w:b/>
        </w:rPr>
        <w:t xml:space="preserve">Status: Explained (a) for both.</w:t>
      </w:r>
    </w:p>
    <w:p>
      <w:pPr>
        <w:pStyle w:val="ListParagraph"/>
        <w:numPr>
          <w:ilvl w:val="0"/>
          <w:numId w:val="17"/>
        </w:numPr>
      </w:pPr>
      <w:r>
        <w:rPr>
          <w:b/>
        </w:rPr>
        <w:t xml:space="preserve">WHO totals.</w:t>
      </w:r>
      <w:r>
        <w:t xml:space="preserve"> "163,388 in 2023 to 941,582 in 2024 (5.76-fold)"; China went from 41,124 to 476,690, and the Western Pacific rose 12-fold (</w:t>
      </w:r>
      <w:hyperlink r:id="rId6" w:history="1">
        <w:r>
          <w:rPr>
            <w:rStyle w:val="Hyperlink"/>
          </w:rPr>
          <w:t xml:space="preserve">Nature Medicine 2026</w:t>
        </w:r>
      </w:hyperlink>
      <w:r>
        <w:t xml:space="preserve">). EU/EEA reported 209,674 cases in 2024 against 26,001 in 2023. ECDC attributes this to "the accumulation of susceptible individuals following prolonged COVID-19 control measures", waning acellular immunity and expanded PCR testing: the PCR share was 42% in 2023–24 vs 23% in 2015–19 (</w:t>
      </w:r>
      <w:hyperlink r:id="rId14" w:history="1">
        <w:r>
          <w:rPr>
            <w:rStyle w:val="Hyperlink"/>
          </w:rPr>
          <w:t xml:space="preserve">ECDC 2024</w:t>
        </w:r>
      </w:hyperlink>
      <w:r>
        <w:t xml:space="preserve">). The Americas reported 66,184 cases in 2024 (</w:t>
      </w:r>
      <w:hyperlink r:id="rId34" w:history="1">
        <w:r>
          <w:rPr>
            <w:rStyle w:val="Hyperlink"/>
          </w:rPr>
          <w:t xml:space="preserve">PAHO, Mar 2026</w:t>
        </w:r>
      </w:hyperlink>
      <w:r>
        <w:t xml:space="preserve">).</w:t>
      </w:r>
    </w:p>
    <w:p>
      <w:pPr>
        <w:pStyle w:val="ListParagraph"/>
        <w:numPr>
          <w:ilvl w:val="0"/>
          <w:numId w:val="17"/>
        </w:numPr>
      </w:pPr>
      <w:r>
        <w:rPr>
          <w:b/>
        </w:rPr>
        <w:t xml:space="preserve">GBD dip.</w:t>
      </w:r>
      <w:r>
        <w:t xml:space="preserve"> This is driven by the mask-use covariate (A2.7); GBD calls the 2020–21 values "anomalously low pandemic-period estimates". GBD 2023 ends in 2023 and "do[es] not quantify the subsequent reported waves".</w:t>
      </w:r>
    </w:p>
    <w:p>
      <w:pPr>
        <w:pStyle w:val="Heading3"/>
      </w:pPr>
      <w:r>
        <w:t xml:space="preserve">B8. Global diphtheria resurgence</w:t>
      </w:r>
    </w:p>
    <w:p>
      <w:pPr/>
      <w:r>
        <w:rPr>
          <w:b/>
        </w:rPr>
        <w:t xml:space="preserve">Status: Partly documented (a).</w:t>
      </w:r>
    </w:p>
    <w:tbl>
      <w:tblPr>
        <w:tblStyle w:val="TableGrid"/>
        <w:tblW w:w="0" w:type="auto"/>
        <w:tblLayout w:type="fixed"/>
        <w:tblLook w:val="04A0" w:firstRow="1" w:lastRow="0" w:firstColumn="0" w:lastColumn="0" w:noHBand="0" w:noVBand="1"/>
      </w:tblPr>
      <w:tblGrid>
        <w:gridCol w:w="928"/>
        <w:gridCol w:w="2086"/>
        <w:gridCol w:w="6344"/>
      </w:tblGrid>
      <w:tr>
        <w:trPr>
          <w:tblHeader/>
        </w:trPr>
        <w:tc>
          <w:tcPr>
            <w:tcW w:w="928" w:type="dxa"/>
            <w:shd w:val="clear" w:color="auto" w:fill="F2F2F2"/>
          </w:tcPr>
          <w:p>
            <w:pPr/>
            <w:r>
              <w:t xml:space="preserve">Year</w:t>
            </w:r>
          </w:p>
        </w:tc>
        <w:tc>
          <w:tcPr>
            <w:tcW w:w="2086" w:type="dxa"/>
            <w:shd w:val="clear" w:color="auto" w:fill="F2F2F2"/>
          </w:tcPr>
          <w:p>
            <w:pPr/>
            <w:r>
              <w:t xml:space="preserve">Global (GHO)</w:t>
            </w:r>
          </w:p>
        </w:tc>
        <w:tc>
          <w:tcPr>
            <w:tcW w:w="6344" w:type="dxa"/>
            <w:shd w:val="clear" w:color="auto" w:fill="F2F2F2"/>
          </w:tcPr>
          <w:p>
            <w:pPr/>
            <w:r>
              <w:t xml:space="preserve">Main contributors (GHO, cases)</w:t>
            </w:r>
          </w:p>
        </w:tc>
      </w:tr>
      <w:tr>
        <w:tc>
          <w:tcPr>
            <w:tcW w:w="928" w:type="dxa"/>
          </w:tcPr>
          <w:p>
            <w:pPr/>
            <w:r>
              <w:t xml:space="preserve">2025</w:t>
            </w:r>
          </w:p>
        </w:tc>
        <w:tc>
          <w:tcPr>
            <w:tcW w:w="2086" w:type="dxa"/>
          </w:tcPr>
          <w:p>
            <w:pPr/>
            <w:r>
              <w:t xml:space="preserve">30,206</w:t>
            </w:r>
          </w:p>
        </w:tc>
        <w:tc>
          <w:tcPr>
            <w:tcW w:w="6344" w:type="dxa"/>
          </w:tcPr>
          <w:p>
            <w:pPr/>
            <w:r>
              <w:t xml:space="preserve">Nigeria 15,273; Somalia 3,622; India 3,249; Niger 1,592; Yemen 1,447; Mauritania 1,273</w:t>
            </w:r>
          </w:p>
        </w:tc>
      </w:tr>
      <w:tr>
        <w:tc>
          <w:tcPr>
            <w:tcW w:w="928" w:type="dxa"/>
          </w:tcPr>
          <w:p>
            <w:pPr/>
            <w:r>
              <w:t xml:space="preserve">2024</w:t>
            </w:r>
          </w:p>
        </w:tc>
        <w:tc>
          <w:tcPr>
            <w:tcW w:w="2086" w:type="dxa"/>
          </w:tcPr>
          <w:p>
            <w:pPr/>
            <w:r>
              <w:t xml:space="preserve">25,147</w:t>
            </w:r>
          </w:p>
        </w:tc>
        <w:tc>
          <w:tcPr>
            <w:tcW w:w="6344" w:type="dxa"/>
          </w:tcPr>
          <w:p>
            <w:pPr/>
            <w:r>
              <w:t xml:space="preserve">Nigeria 10,595; India 5,634; Chad 2,599; Niger 2,082</w:t>
            </w:r>
          </w:p>
        </w:tc>
      </w:tr>
      <w:tr>
        <w:tc>
          <w:tcPr>
            <w:tcW w:w="928" w:type="dxa"/>
          </w:tcPr>
          <w:p>
            <w:pPr/>
            <w:r>
              <w:t xml:space="preserve">2023</w:t>
            </w:r>
          </w:p>
        </w:tc>
        <w:tc>
          <w:tcPr>
            <w:tcW w:w="2086" w:type="dxa"/>
          </w:tcPr>
          <w:p>
            <w:pPr/>
            <w:r>
              <w:t xml:space="preserve">24,782</w:t>
            </w:r>
          </w:p>
        </w:tc>
        <w:tc>
          <w:tcPr>
            <w:tcW w:w="6344" w:type="dxa"/>
          </w:tcPr>
          <w:p>
            <w:pPr/>
            <w:r>
              <w:t xml:space="preserve">Nigeria 14,163; India 3,850; Niger 3,286</w:t>
            </w:r>
          </w:p>
        </w:tc>
      </w:tr>
      <w:tr>
        <w:tc>
          <w:tcPr>
            <w:tcW w:w="928" w:type="dxa"/>
          </w:tcPr>
          <w:p>
            <w:pPr/>
            <w:r>
              <w:t xml:space="preserve">2019</w:t>
            </w:r>
          </w:p>
        </w:tc>
        <w:tc>
          <w:tcPr>
            <w:tcW w:w="2086" w:type="dxa"/>
          </w:tcPr>
          <w:p>
            <w:pPr/>
            <w:r>
              <w:t xml:space="preserve">22,989</w:t>
            </w:r>
          </w:p>
        </w:tc>
        <w:tc>
          <w:tcPr>
            <w:tcW w:w="6344" w:type="dxa"/>
          </w:tcPr>
          <w:p>
            <w:pPr/>
            <w:r>
              <w:t xml:space="preserve">India 9,622; Ethiopia 7,184; Nigeria 2,289; Madagascar 1,815</w:t>
            </w:r>
          </w:p>
        </w:tc>
      </w:tr>
      <w:tr>
        <w:tc>
          <w:tcPr>
            <w:tcW w:w="928" w:type="dxa"/>
          </w:tcPr>
          <w:p>
            <w:pPr/>
            <w:r>
              <w:t xml:space="preserve">2018</w:t>
            </w:r>
          </w:p>
        </w:tc>
        <w:tc>
          <w:tcPr>
            <w:tcW w:w="2086" w:type="dxa"/>
          </w:tcPr>
          <w:p>
            <w:pPr/>
            <w:r>
              <w:t xml:space="preserve">16,911</w:t>
            </w:r>
          </w:p>
        </w:tc>
        <w:tc>
          <w:tcPr>
            <w:tcW w:w="6344" w:type="dxa"/>
          </w:tcPr>
          <w:p>
            <w:pPr/>
            <w:r>
              <w:t xml:space="preserve">India 8,788; Yemen 2,609; Nigeria 1,870; Indonesia 1,026</w:t>
            </w:r>
          </w:p>
        </w:tc>
      </w:tr>
    </w:tbl>
    <w:p>
      <w:pPr/>
      <w:r>
        <w:t xml:space="preserve">Source: </w:t>
      </w:r>
      <w:hyperlink r:id="rId29" w:history="1">
        <w:r>
          <w:rPr>
            <w:rStyle w:val="Hyperlink"/>
          </w:rPr>
          <w:t xml:space="preserve">GHO API WHS3_41</w:t>
        </w:r>
      </w:hyperlink>
      <w:r>
        <w:t xml:space="preserve">, read 22 Oct 2026. The WHO African Region counted 58,910 suspected cases in nine countries in 2023–2024, with Nigeria, Guinea and Niger most affected (</w:t>
      </w:r>
      <w:hyperlink r:id="rId10" w:history="1">
        <w:r>
          <w:rPr>
            <w:rStyle w:val="Hyperlink"/>
          </w:rPr>
          <w:t xml:space="preserve">Bita Fouda et al. 2025, doi:10.11604/pamj.supp.2025.51.1.48620</w:t>
        </w:r>
      </w:hyperlink>
      <w:r>
        <w:t xml:space="preserve">). India, Ethiopia and Madagascar 2015–2019 were not covered by any source I opened.</w:t>
      </w:r>
    </w:p>
    <w:p>
      <w:pPr>
        <w:pStyle w:val="Heading3"/>
      </w:pPr>
      <w:r>
        <w:t xml:space="preserve">B9. Changes don't line up year to year</w:t>
      </w:r>
    </w:p>
    <w:p>
      <w:pPr/>
      <w:r>
        <w:rPr>
          <w:b/>
        </w:rPr>
        <w:t xml:space="preserve">Status: Partly documented (a), and expected from model structure (b).</w:t>
      </w:r>
    </w:p>
    <w:p>
      <w:pPr>
        <w:pStyle w:val="ListParagraph"/>
        <w:numPr>
          <w:ilvl w:val="0"/>
          <w:numId w:val="18"/>
        </w:numPr>
      </w:pPr>
      <w:r>
        <w:rPr>
          <w:b/>
        </w:rPr>
        <w:t xml:space="preserve">The closest published result.</w:t>
      </w:r>
      <w:r>
        <w:t xml:space="preserve"> The GBD capstone found limited country-level concordance with WHO/JRF in 2023 (Pearson r = −0.103; log-scale r = 0.398 among positive pairs).</w:t>
      </w:r>
    </w:p>
    <w:p>
      <w:pPr>
        <w:pStyle w:val="ListParagraph"/>
        <w:numPr>
          <w:ilvl w:val="0"/>
          <w:numId w:val="18"/>
        </w:numPr>
      </w:pPr>
      <w:r>
        <w:rPr>
          <w:b/>
        </w:rPr>
        <w:t xml:space="preserve">The npj Vaccines comparison</w:t>
      </w:r>
      <w:r>
        <w:t xml:space="preserve"> found GBD and WHO pertussis trends diverging in direction across regions and concluded the divergence is "compatible with differential ascertainment" (</w:t>
      </w:r>
      <w:hyperlink r:id="rId15" w:history="1">
        <w:r>
          <w:rPr>
            <w:rStyle w:val="Hyperlink"/>
          </w:rPr>
          <w:t xml:space="preserve">Li et al. 2026, doi:10.1038/s41541-026-01479-9</w:t>
        </w:r>
      </w:hyperlink>
      <w:r>
        <w:t xml:space="preserve">).</w:t>
      </w:r>
    </w:p>
    <w:p>
      <w:pPr>
        <w:pStyle w:val="ListParagraph"/>
        <w:numPr>
          <w:ilvl w:val="0"/>
          <w:numId w:val="18"/>
        </w:numPr>
      </w:pPr>
      <w:r>
        <w:rPr>
          <w:b/>
        </w:rPr>
        <w:t xml:space="preserve">Why the structure predicts this.</w:t>
      </w:r>
      <w:r>
        <w:t xml:space="preserve"> Pertussis predictions vary only with 5-year rolling DTP3 and masking. Diphtheria and tetanus follow smoothed CODEm deaths (ST-GPR). Notification shocks therefore go into the residuals rather than the estimates.</w:t>
      </w:r>
    </w:p>
    <w:p>
      <w:pPr>
        <w:pStyle w:val="ListParagraph"/>
        <w:numPr>
          <w:ilvl w:val="0"/>
          <w:numId w:val="18"/>
        </w:numPr>
      </w:pPr>
      <w:r>
        <w:t xml:space="preserve">No source computes year-on-year change correlations as you did.</w:t>
      </w:r>
    </w:p>
    <w:p>
      <w:pPr>
        <w:pStyle w:val="Heading3"/>
      </w:pPr>
      <w:r>
        <w:t xml:space="preserve">B10. DTP3 coverage and reporting rate</w:t>
      </w:r>
    </w:p>
    <w:p>
      <w:pPr/>
      <w:r>
        <w:rPr>
          <w:b/>
        </w:rPr>
        <w:t xml:space="preserve">Status: Plausible mechanism (b).</w:t>
      </w:r>
    </w:p>
    <w:p>
      <w:pPr>
        <w:pStyle w:val="ListParagraph"/>
        <w:numPr>
          <w:ilvl w:val="0"/>
          <w:numId w:val="19"/>
        </w:numPr>
      </w:pPr>
      <w:r>
        <w:rPr>
          <w:b/>
        </w:rPr>
        <w:t xml:space="preserve">Across countries.</w:t>
      </w:r>
      <w:r>
        <w:t xml:space="preserve"> Your positive correlation is partly mechanical. GBD's denominator is a decreasing function of DTP3 by construction (the β₁ term), and the random effect that soaks up reporting completeness correlates with health-system capacity. Li et al. 2026 report GBD incidence strongly tied to DTP3 (Spearman −0.81 in 2019), while WHO incidence is weakly or not associated. That gap is exactly a coverage gradient in the ratio.</w:t>
      </w:r>
    </w:p>
    <w:p>
      <w:pPr>
        <w:pStyle w:val="ListParagraph"/>
        <w:numPr>
          <w:ilvl w:val="0"/>
          <w:numId w:val="19"/>
        </w:numPr>
      </w:pPr>
      <w:r>
        <w:rPr>
          <w:b/>
        </w:rPr>
        <w:t xml:space="preserve">Surveillance quality.</w:t>
      </w:r>
      <w:r>
        <w:t xml:space="preserve"> Higher district income predicted higher pertussis notification in Chongqing, read as surveillance sensitivity (</w:t>
      </w:r>
      <w:hyperlink r:id="rId12" w:history="1">
        <w:r>
          <w:rPr>
            <w:rStyle w:val="Hyperlink"/>
          </w:rPr>
          <w:t xml:space="preserve">Chongqing 2025</w:t>
        </w:r>
      </w:hyperlink>
      <w:r>
        <w:t xml:space="preserve">).</w:t>
      </w:r>
    </w:p>
    <w:p>
      <w:pPr>
        <w:pStyle w:val="ListParagraph"/>
        <w:numPr>
          <w:ilvl w:val="0"/>
          <w:numId w:val="19"/>
        </w:numPr>
      </w:pPr>
      <w:r>
        <w:rPr>
          <w:b/>
        </w:rPr>
        <w:t xml:space="preserve">Within a country.</w:t>
      </w:r>
      <w:r>
        <w:t xml:space="preserve"> Coverage changes move GBD's numerator and denominator almost together, so the ratio barely moves (c).</w:t>
      </w:r>
    </w:p>
    <w:p>
      <w:pPr>
        <w:pStyle w:val="Heading3"/>
      </w:pPr>
      <w:r>
        <w:t xml:space="preserve">B11. Persistent zero reporting</w:t>
      </w:r>
    </w:p>
    <w:p>
      <w:pPr/>
      <w:r>
        <w:rPr>
          <w:b/>
        </w:rPr>
        <w:t xml:space="preserve">Status: Mostly a data-handling artefact (c); the surveillance gap is described generally (a).</w:t>
      </w:r>
    </w:p>
    <w:p>
      <w:pPr/>
      <w:r>
        <w:t xml:space="preserve">In the GHO API, several of your example country-years are </w:t>
      </w:r>
      <w:r>
        <w:rPr>
          <w:b/>
        </w:rPr>
        <w:t xml:space="preserve">null, not zero</w:t>
      </w:r>
      <w:r>
        <w:t xml:space="preserve">.</w:t>
      </w:r>
    </w:p>
    <w:p>
      <w:pPr>
        <w:pStyle w:val="ListParagraph"/>
        <w:numPr>
          <w:ilvl w:val="0"/>
          <w:numId w:val="20"/>
        </w:numPr>
      </w:pPr>
      <w:r>
        <w:t xml:space="preserve">Angola pertussis: 2021, 2022, 2023 and 2024 are null. 2020 is 0, and 2025 is 1,150.</w:t>
      </w:r>
    </w:p>
    <w:p>
      <w:pPr>
        <w:pStyle w:val="ListParagraph"/>
        <w:numPr>
          <w:ilvl w:val="0"/>
          <w:numId w:val="20"/>
        </w:numPr>
      </w:pPr>
      <w:r>
        <w:t xml:space="preserve">Botswana: 2020 and 2021 are null.</w:t>
      </w:r>
    </w:p>
    <w:p>
      <w:pPr>
        <w:pStyle w:val="ListParagraph"/>
        <w:numPr>
          <w:ilvl w:val="0"/>
          <w:numId w:val="20"/>
        </w:numPr>
      </w:pPr>
      <w:r>
        <w:t xml:space="preserve">Bhutan: 2021 is null.</w:t>
      </w:r>
    </w:p>
    <w:p>
      <w:pPr>
        <w:pStyle w:val="ListParagraph"/>
        <w:numPr>
          <w:ilvl w:val="0"/>
          <w:numId w:val="20"/>
        </w:numPr>
      </w:pPr>
      <w:r>
        <w:t xml:space="preserve">Cabo Verde: there is no 2020 row (</w:t>
      </w:r>
      <w:hyperlink r:id="rId5" w:history="1">
        <w:r>
          <w:rPr>
            <w:rStyle w:val="Hyperlink"/>
          </w:rPr>
          <w:t xml:space="preserve">GHO API WHS3_43</w:t>
        </w:r>
      </w:hyperlink>
      <w:r>
        <w:t xml:space="preserve">).</w:t>
      </w:r>
    </w:p>
    <w:p>
      <w:pPr/>
      <w:r>
        <w:t xml:space="preserve">If your pipeline coerces nulls to 0, the 47-country list is inflated; re-run it with nulls as NA. Where true zeros remain (Botswana 2022–2024, Cabo Verde 2021–2024), WHO's standard says pertussis surveillance can be sentinel-only and that deaths outside facilities "would be missed". A reported zero from a non-nationwide system is not evidence of absence (b). I found no source that lists persistent pertussis zero-reporters.</w:t>
      </w:r>
    </w:p>
    <w:p>
      <w:pPr>
        <w:pStyle w:val="Heading2"/>
      </w:pPr>
      <w:r>
        <w:t xml:space="preserve">Part C: Prior comparisons</w:t>
      </w:r>
    </w:p>
    <w:p>
      <w:pPr/>
      <w:r>
        <w:t xml:space="preserve">Two 2026 papers already compare GBD and WHO pertussis directly. I found no published GBD-vs-WHO comparison for diphtheria or tetanus. The WHO 50-year EPI analysis takes GBD 2021 DTP burden as given rather than reconciling it with WHO cases.</w:t>
      </w:r>
    </w:p>
    <w:p>
      <w:pPr>
        <w:pStyle w:val="Heading3"/>
      </w:pPr>
      <w:r>
        <w:t xml:space="preserve">C12. Published comparisons</w:t>
      </w:r>
    </w:p>
    <w:tbl>
      <w:tblPr>
        <w:tblStyle w:val="TableGrid"/>
        <w:tblW w:w="0" w:type="auto"/>
        <w:tblLayout w:type="fixed"/>
        <w:tblLook w:val="04A0" w:firstRow="1" w:lastRow="0" w:firstColumn="0" w:lastColumn="0" w:noHBand="0" w:noVBand="1"/>
      </w:tblPr>
      <w:tblGrid>
        <w:gridCol w:w="2340"/>
        <w:gridCol w:w="1384"/>
        <w:gridCol w:w="1543"/>
        <w:gridCol w:w="4093"/>
      </w:tblGrid>
      <w:tr>
        <w:trPr>
          <w:tblHeader/>
        </w:trPr>
        <w:tc>
          <w:tcPr>
            <w:tcW w:w="2340" w:type="dxa"/>
            <w:shd w:val="clear" w:color="auto" w:fill="F2F2F2"/>
          </w:tcPr>
          <w:p>
            <w:pPr/>
            <w:r>
              <w:t xml:space="preserve">Study</w:t>
            </w:r>
          </w:p>
        </w:tc>
        <w:tc>
          <w:tcPr>
            <w:tcW w:w="1384" w:type="dxa"/>
            <w:shd w:val="clear" w:color="auto" w:fill="F2F2F2"/>
          </w:tcPr>
          <w:p>
            <w:pPr/>
            <w:r>
              <w:t xml:space="preserve">Disease and rounds</w:t>
            </w:r>
          </w:p>
        </w:tc>
        <w:tc>
          <w:tcPr>
            <w:tcW w:w="1543" w:type="dxa"/>
            <w:shd w:val="clear" w:color="auto" w:fill="F2F2F2"/>
          </w:tcPr>
          <w:p>
            <w:pPr/>
            <w:r>
              <w:t xml:space="preserve">What it compares</w:t>
            </w:r>
          </w:p>
        </w:tc>
        <w:tc>
          <w:tcPr>
            <w:tcW w:w="4093" w:type="dxa"/>
            <w:shd w:val="clear" w:color="auto" w:fill="F2F2F2"/>
          </w:tcPr>
          <w:p>
            <w:pPr/>
            <w:r>
              <w:t xml:space="preserve">Key finding</w:t>
            </w:r>
          </w:p>
        </w:tc>
      </w:tr>
      <w:tr>
        <w:tc>
          <w:tcPr>
            <w:tcW w:w="2340" w:type="dxa"/>
          </w:tcPr>
          <w:p>
            <w:pPr/>
            <w:hyperlink r:id="rId6" w:history="1">
              <w:r>
                <w:rPr>
                  <w:rStyle w:val="Hyperlink"/>
                </w:rPr>
                <w:t xml:space="preserve">GBD 2023 Pertussis Collaborators, Nature Medicine, 21 Oct 2026</w:t>
              </w:r>
            </w:hyperlink>
            <w:r>
              <w:t xml:space="preserve"> (doi:10.1038/s41591-026-04660-8)</w:t>
            </w:r>
          </w:p>
        </w:tc>
        <w:tc>
          <w:tcPr>
            <w:tcW w:w="1384" w:type="dxa"/>
          </w:tcPr>
          <w:p>
            <w:pPr/>
            <w:r>
              <w:t xml:space="preserve">Pertussis, GBD 2023 vs JRF 2023–2024</w:t>
            </w:r>
          </w:p>
        </w:tc>
        <w:tc>
          <w:tcPr>
            <w:tcW w:w="1543" w:type="dxa"/>
          </w:tcPr>
          <w:p>
            <w:pPr/>
            <w:r>
              <w:t xml:space="preserve">Country concordance of incidence and ranks</w:t>
            </w:r>
          </w:p>
        </w:tc>
        <w:tc>
          <w:tcPr>
            <w:tcW w:w="4093" w:type="dxa"/>
          </w:tcPr>
          <w:p>
            <w:pPr/>
            <w:r>
              <w:t xml:space="preserve">Pearson r = −0.103 (2023); Spearman 0.314 for GBD 2023 vs JRF 2024 ranks. JRF "should not be used as formal validation targets". Supplementary Table 8 has the country comparison</w:t>
            </w:r>
          </w:p>
        </w:tc>
      </w:tr>
      <w:tr>
        <w:tc>
          <w:tcPr>
            <w:tcW w:w="2340" w:type="dxa"/>
          </w:tcPr>
          <w:p>
            <w:pPr/>
            <w:hyperlink r:id="rId15" w:history="1">
              <w:r>
                <w:rPr>
                  <w:rStyle w:val="Hyperlink"/>
                </w:rPr>
                <w:t xml:space="preserve">Li et al., npj Vaccines 2026;11:148</w:t>
              </w:r>
            </w:hyperlink>
            <w:r>
              <w:t xml:space="preserve"> (doi:10.1038/s41541-026-01479-9)</w:t>
            </w:r>
          </w:p>
        </w:tc>
        <w:tc>
          <w:tcPr>
            <w:tcW w:w="1384" w:type="dxa"/>
          </w:tcPr>
          <w:p>
            <w:pPr/>
            <w:r>
              <w:t xml:space="preserve">Pertussis, GBD 2019 and 2021 vs WHO 2000–2024</w:t>
            </w:r>
          </w:p>
        </w:tc>
        <w:tc>
          <w:tcPr>
            <w:tcW w:w="1543" w:type="dxa"/>
          </w:tcPr>
          <w:p>
            <w:pPr/>
            <w:r>
              <w:t xml:space="preserve">Regional trends (joinpoint), DTP3 and maternal-vaccination associations</w:t>
            </w:r>
          </w:p>
        </w:tc>
        <w:tc>
          <w:tcPr>
            <w:tcW w:w="4093" w:type="dxa"/>
          </w:tcPr>
          <w:p>
            <w:pPr/>
            <w:r>
              <w:t xml:space="preserve">"GBD consistently reported higher incidence than WHO". Trend directions diverge (South-East Asia most). DTP3 is strongly associated with GBD and weakly with WHO. Divergence is "compatible with differential ascertainment". Second half read only via summary</w:t>
            </w:r>
          </w:p>
        </w:tc>
      </w:tr>
      <w:tr>
        <w:tc>
          <w:tcPr>
            <w:tcW w:w="2340" w:type="dxa"/>
          </w:tcPr>
          <w:p>
            <w:pPr/>
            <w:hyperlink r:id="rId16" w:history="1">
              <w:r>
                <w:rPr>
                  <w:rStyle w:val="Hyperlink"/>
                </w:rPr>
                <w:t xml:space="preserve">Shattock et al., Lancet 2024;403:2307–16</w:t>
              </w:r>
            </w:hyperlink>
            <w:r>
              <w:t xml:space="preserve"> (doi:10.1016/S0140-6736(24)00850-X), appendix</w:t>
            </w:r>
          </w:p>
        </w:tc>
        <w:tc>
          <w:tcPr>
            <w:tcW w:w="1384" w:type="dxa"/>
          </w:tcPr>
          <w:p>
            <w:pPr/>
            <w:r>
              <w:t xml:space="preserve">Diphtheria, tetanus, pertussis, TB</w:t>
            </w:r>
          </w:p>
        </w:tc>
        <w:tc>
          <w:tcPr>
            <w:tcW w:w="1543" w:type="dxa"/>
          </w:tcPr>
          <w:p>
            <w:pPr/>
            <w:r>
              <w:t xml:space="preserve">"Static modelling approach built upon disease burden estimates from the [GBD]" (GBD 2021)</w:t>
            </w:r>
          </w:p>
        </w:tc>
        <w:tc>
          <w:tcPr>
            <w:tcW w:w="4093" w:type="dxa"/>
          </w:tcPr>
          <w:p>
            <w:pPr/>
            <w:r>
              <w:t xml:space="preserve">DTP deaths averted come from GBD deaths ÷ (1 − effective coverage). No calibration to WHO case data is described. The authors call the low diphtheria impact "likely an artefact of the relatively simplistic static modelling approach"</w:t>
            </w:r>
          </w:p>
        </w:tc>
      </w:tr>
      <w:tr>
        <w:tc>
          <w:tcPr>
            <w:tcW w:w="2340" w:type="dxa"/>
          </w:tcPr>
          <w:p>
            <w:pPr/>
            <w:hyperlink r:id="rId36" w:history="1">
              <w:r>
                <w:rPr>
                  <w:rStyle w:val="Hyperlink"/>
                </w:rPr>
                <w:t xml:space="preserve">Wu et al., Front Public Health 2025</w:t>
              </w:r>
            </w:hyperlink>
            <w:r>
              <w:t xml:space="preserve"> (doi:10.3389/fpubh.2025.1597076)</w:t>
            </w:r>
          </w:p>
        </w:tc>
        <w:tc>
          <w:tcPr>
            <w:tcW w:w="1384" w:type="dxa"/>
          </w:tcPr>
          <w:p>
            <w:pPr/>
            <w:r>
              <w:t xml:space="preserve">Diphtheria, GBD 2021</w:t>
            </w:r>
          </w:p>
        </w:tc>
        <w:tc>
          <w:tcPr>
            <w:tcW w:w="1543" w:type="dxa"/>
          </w:tcPr>
          <w:p>
            <w:pPr/>
            <w:r>
              <w:t xml:space="preserve">GBD vs SDI and DTP3</w:t>
            </w:r>
          </w:p>
        </w:tc>
        <w:tc>
          <w:tcPr>
            <w:tcW w:w="4093" w:type="dxa"/>
          </w:tcPr>
          <w:p>
            <w:pPr/>
            <w:r>
              <w:t xml:space="preserve">No WHO comparison. Not a reconciliation</w:t>
            </w:r>
          </w:p>
        </w:tc>
      </w:tr>
    </w:tbl>
    <w:p>
      <w:pPr/>
      <w:r>
        <w:rPr>
          <w:b/>
        </w:rPr>
        <w:t xml:space="preserve">VIMC.</w:t>
      </w:r>
      <w:r>
        <w:t xml:space="preserve"> The first-phase VIMC review covers 10–12 pathogens and does not include DTP. It describes no use of JRF case data for calibration and no GBD comparison (</w:t>
      </w:r>
      <w:hyperlink r:id="rId37" w:history="1">
        <w:r>
          <w:rPr>
            <w:rStyle w:val="Hyperlink"/>
          </w:rPr>
          <w:t xml:space="preserve">Gaythorpe et al. 2024, Gates Open Res, doi:10.12688/gatesopenres.15556.1</w:t>
        </w:r>
      </w:hyperlink>
      <w:r>
        <w:t xml:space="preserve">). The VIMC model standards require documenting "how fitting accounts for data limitations (e.g. under-reporting of cases)" (</w:t>
      </w:r>
      <w:hyperlink r:id="rId38" w:history="1">
        <w:r>
          <w:rPr>
            <w:rStyle w:val="Hyperlink"/>
          </w:rPr>
          <w:t xml:space="preserve">VIMC Model Standards</w:t>
        </w:r>
      </w:hyperlink>
      <w:r>
        <w:t xml:space="preserve">). UCT MASHA has "six years of experience developing dynamic models for pertussis, diphtheria and tetanus" and contributed to the EPI analysis (</w:t>
      </w:r>
      <w:hyperlink r:id="rId39" w:history="1">
        <w:r>
          <w:rPr>
            <w:rStyle w:val="Hyperlink"/>
          </w:rPr>
          <w:t xml:space="preserve">UCT MASHA, June 2024</w:t>
        </w:r>
      </w:hyperlink>
      <w:r>
        <w:t xml:space="preserve">). However, the published EPI appendix lists DTP under the GBD-based static form. Whether DTP is in VIMC's current portfolio could not be confirmed from vaccineimpact.org (status: not found).</w:t>
      </w:r>
    </w:p>
    <w:p>
      <w:pPr>
        <w:pStyle w:val="Heading3"/>
      </w:pPr>
      <w:r>
        <w:t xml:space="preserve">C13. Commentary on reconciling the sources</w:t>
      </w:r>
    </w:p>
    <w:p>
      <w:pPr>
        <w:pStyle w:val="ListParagraph"/>
        <w:numPr>
          <w:ilvl w:val="0"/>
          <w:numId w:val="21"/>
        </w:numPr>
      </w:pPr>
      <w:r>
        <w:rPr>
          <w:b/>
        </w:rPr>
        <w:t xml:space="preserve">IHME.</w:t>
      </w:r>
      <w:r>
        <w:t xml:space="preserve"> JRF notifications "are not directly equivalent to modeled underlying incidence and should not be used as formal validation targets" (</w:t>
      </w:r>
      <w:hyperlink r:id="rId6" w:history="1">
        <w:r>
          <w:rPr>
            <w:rStyle w:val="Hyperlink"/>
          </w:rPr>
          <w:t xml:space="preserve">Nature Medicine 2026</w:t>
        </w:r>
      </w:hyperlink>
      <w:r>
        <w:t xml:space="preserve">). The pertussis model's random effect mixes ascertainment with "residual differences in transmission … diagnostic intensity, reporting requirements and healthcare seeking".</w:t>
      </w:r>
    </w:p>
    <w:p>
      <w:pPr>
        <w:pStyle w:val="ListParagraph"/>
        <w:numPr>
          <w:ilvl w:val="0"/>
          <w:numId w:val="21"/>
        </w:numPr>
      </w:pPr>
      <w:r>
        <w:rPr>
          <w:b/>
        </w:rPr>
        <w:t xml:space="preserve">WHO.</w:t>
      </w:r>
      <w:r>
        <w:t xml:space="preserve"> Reported cases are "likely an underestimation" for diphtheria and "likely an underestimate" for tetanus (2018 standards). WHO publishes no reconciliation with GBD that I could find.</w:t>
      </w:r>
    </w:p>
    <w:p>
      <w:pPr>
        <w:pStyle w:val="ListParagraph"/>
        <w:numPr>
          <w:ilvl w:val="0"/>
          <w:numId w:val="21"/>
        </w:numPr>
      </w:pPr>
      <w:r>
        <w:rPr>
          <w:b/>
        </w:rPr>
        <w:t xml:space="preserve">Academic.</w:t>
      </w:r>
      <w:r>
        <w:t xml:space="preserve"> Li et al. 2026 argue the divergence reflects "changes in ascertainment driven by strengthened surveillance and expanded access to sensitive molecular diagnostics" as well as epidemiology.</w:t>
      </w:r>
    </w:p>
    <w:p>
      <w:pPr>
        <w:pStyle w:val="ListParagraph"/>
        <w:numPr>
          <w:ilvl w:val="0"/>
          <w:numId w:val="21"/>
        </w:numPr>
      </w:pPr>
      <w:r>
        <w:rPr>
          <w:b/>
        </w:rPr>
        <w:t xml:space="preserve">Not found.</w:t>
      </w:r>
      <w:r>
        <w:t xml:space="preserve"> I found no paper that reconciles GBD and WHO for diphtheria or tetanus. I also found none that uses JRF for formal completeness estimates across DTP, beyond the pertussis work above. Searches included GBD vs WHO for diphtheria and tetanus, VIMC DTP calibration and WHO JRF completeness.</w:t>
      </w:r>
    </w:p>
    <w:p>
      <w:pPr>
        <w:pStyle w:val="Heading2"/>
      </w:pPr>
      <w:r>
        <w:t xml:space="preserve">Implications for your analysis</w:t>
      </w:r>
    </w:p>
    <w:p>
      <w:pPr/>
      <w:r>
        <w:t xml:space="preserve">The "reporting rate" means something different for each disease. For pertussis it mostly measures distance from Switzerland. For diphtheria it is capped at 1 by design. For tetanus it compares notifications with a death-derived estimate. Report and interpret the three separately.</w:t>
      </w:r>
    </w:p>
    <w:p>
      <w:pPr>
        <w:pStyle w:val="ListParagraph"/>
        <w:numPr>
          <w:ilvl w:val="0"/>
          <w:numId w:val="22"/>
        </w:numPr>
      </w:pPr>
      <w:r>
        <w:rPr>
          <w:b/>
        </w:rPr>
        <w:t xml:space="preserve">Fix nulls first.</w:t>
      </w:r>
      <w:r>
        <w:t xml:space="preserve"> Keep GHO </w:t>
      </w:r>
      <w:r>
        <w:rPr>
          <w:rStyle w:val="CodeChar"/>
        </w:rPr>
        <w:t xml:space="preserve">NumericValue: null</w:t>
      </w:r>
      <w:r>
        <w:t xml:space="preserve"> as NA, never as 0. Then re-run B11 and any medians that counted zeros. Angola, Botswana and Bhutan are confirmed examples.</w:t>
      </w:r>
    </w:p>
    <w:p>
      <w:pPr>
        <w:pStyle w:val="ListParagraph"/>
        <w:numPr>
          <w:ilvl w:val="0"/>
          <w:numId w:val="22"/>
        </w:numPr>
      </w:pPr>
      <w:r>
        <w:rPr>
          <w:b/>
        </w:rPr>
        <w:t xml:space="preserve">Flag floored country-years.</w:t>
      </w:r>
      <w:r>
        <w:t xml:space="preserve"> For diphtheria and pertussis, a ratio of exactly 1 (within about 1%) means GBD copied the notification. Exclude these from the distribution of reporting rates or report them separately. Otherwise they pull the median and the share above 1 toward 1. A ratio above 1 in GBD 2023 implies a JRF revision after GBD's data freeze. Log the WHO download date and compare with the GBD 2023 input data (Sources Tool or the </w:t>
      </w:r>
      <w:hyperlink r:id="rId40" w:history="1">
        <w:r>
          <w:rPr>
            <w:rStyle w:val="Hyperlink"/>
          </w:rPr>
          <w:t xml:space="preserve">nonfatal data audit</w:t>
        </w:r>
      </w:hyperlink>
      <w:r>
        <w:t xml:space="preserve"> for pertussis).</w:t>
      </w:r>
    </w:p>
    <w:p>
      <w:pPr>
        <w:pStyle w:val="ListParagraph"/>
        <w:numPr>
          <w:ilvl w:val="0"/>
          <w:numId w:val="22"/>
        </w:numPr>
      </w:pPr>
      <w:r>
        <w:rPr>
          <w:b/>
        </w:rPr>
        <w:t xml:space="preserve">Pertussis: report relative, not absolute, completeness.</w:t>
      </w:r>
      <w:r>
        <w:t xml:space="preserve"> The absolute level rests on Switzerland's random effect, which is reporting 100% by assumption. Under alternative references GBD's own sensitivity changes the scaling by 0.39× to 0.0069×. Within-country rankings over time are more robust than cross-country levels. As a sanity check, Switzerland's own rate should be near 1.</w:t>
      </w:r>
    </w:p>
    <w:p>
      <w:pPr>
        <w:pStyle w:val="ListParagraph"/>
        <w:numPr>
          <w:ilvl w:val="0"/>
          <w:numId w:val="22"/>
        </w:numPr>
      </w:pPr>
      <w:r>
        <w:rPr>
          <w:b/>
        </w:rPr>
        <w:t xml:space="preserve">Treat the DTP3 correlation as partly built in.</w:t>
      </w:r>
      <w:r>
        <w:t xml:space="preserve"> GBD pertussis uses DTP3 in its incidence model, and diphtheria and tetanus use it in their death models. A test of "surveillance quality vs coverage" needs a coverage-independent denominator, or should relate notifications to WUENIC directly.</w:t>
      </w:r>
    </w:p>
    <w:p>
      <w:pPr>
        <w:pStyle w:val="ListParagraph"/>
        <w:numPr>
          <w:ilvl w:val="0"/>
          <w:numId w:val="22"/>
        </w:numPr>
      </w:pPr>
      <w:r>
        <w:rPr>
          <w:b/>
        </w:rPr>
        <w:t xml:space="preserve">Exclude known reporting breaks.</w:t>
      </w:r>
    </w:p>
    <w:p>
      <w:pPr>
        <w:pStyle w:val="ListParagraph"/>
        <w:numPr>
          <w:ilvl w:val="1"/>
          <w:numId w:val="23"/>
        </w:numPr>
      </w:pPr>
      <w:r>
        <w:t xml:space="preserve">India total tetanus from 2020 on (non-neonatal dropped; use WHS3_56 vs GBD under-1 tetanus instead).</w:t>
      </w:r>
    </w:p>
    <w:p>
      <w:pPr>
        <w:pStyle w:val="ListParagraph"/>
        <w:numPr>
          <w:ilvl w:val="1"/>
          <w:numId w:val="23"/>
        </w:numPr>
      </w:pPr>
      <w:r>
        <w:t xml:space="preserve">Pakistan pertussis before 1991.</w:t>
      </w:r>
    </w:p>
    <w:p>
      <w:pPr>
        <w:pStyle w:val="ListParagraph"/>
        <w:numPr>
          <w:ilvl w:val="1"/>
          <w:numId w:val="23"/>
        </w:numPr>
      </w:pPr>
      <w:r>
        <w:t xml:space="preserve">China pertussis: mark 2017 (PCR) and 2024 (new criteria) as definition changes.</w:t>
      </w:r>
    </w:p>
    <w:p>
      <w:pPr>
        <w:pStyle w:val="ListParagraph"/>
        <w:numPr>
          <w:ilvl w:val="1"/>
          <w:numId w:val="23"/>
        </w:numPr>
      </w:pPr>
      <w:r>
        <w:t xml:space="preserve">Brazil and other countries: check for state-level PCR roll-out and surveillance changes.</w:t>
      </w:r>
    </w:p>
    <w:p>
      <w:pPr>
        <w:pStyle w:val="ListParagraph"/>
        <w:numPr>
          <w:ilvl w:val="0"/>
          <w:numId w:val="22"/>
        </w:numPr>
      </w:pPr>
      <w:r>
        <w:rPr>
          <w:b/>
        </w:rPr>
        <w:t xml:space="preserve">Tetanus: compare like with like.</w:t>
      </w:r>
      <w:r>
        <w:t xml:space="preserve"> WHS3_46 (total) matches GBD "Tetanus" conceptually. A cleaner second comparison is WHS3_56 neonatal tetanus vs GBD tetanus for ages under 28 days (early plus late neonatal). Verify the age groups exist for this cause in the Results Tool. Because GBD tetanus incidence is deaths ÷ CFR, a ratio above 1 is not over-reporting by itself. Report it alongside GBD deaths and CFR.</w:t>
      </w:r>
    </w:p>
    <w:p>
      <w:pPr>
        <w:pStyle w:val="ListParagraph"/>
        <w:numPr>
          <w:ilvl w:val="0"/>
          <w:numId w:val="22"/>
        </w:numPr>
      </w:pPr>
      <w:r>
        <w:rPr>
          <w:b/>
        </w:rPr>
        <w:t xml:space="preserve">Diphtheria: note case mix.</w:t>
      </w:r>
      <w:r>
        <w:t xml:space="preserve"> WHO counts may include cutaneous and clinically compatible cases (94.6% of African cases 2023–24), while GBD is respiratory. Expect ratios above 1 in migrant-related European outbreaks and clinically defined African outbreaks.</w:t>
      </w:r>
    </w:p>
    <w:p>
      <w:pPr>
        <w:pStyle w:val="ListParagraph"/>
        <w:numPr>
          <w:ilvl w:val="0"/>
          <w:numId w:val="22"/>
        </w:numPr>
      </w:pPr>
      <w:r>
        <w:rPr>
          <w:b/>
        </w:rPr>
        <w:t xml:space="preserve">Pandemic years.</w:t>
      </w:r>
      <w:r>
        <w:t xml:space="preserve"> For pertussis 2020–2022, GBD's dip is a mask-covariate artefact. Analyse 2020–2022 separately rather than pooling with 2015–2019.</w:t>
      </w:r>
    </w:p>
    <w:p>
      <w:pPr>
        <w:pStyle w:val="ListParagraph"/>
        <w:numPr>
          <w:ilvl w:val="0"/>
          <w:numId w:val="22"/>
        </w:numPr>
      </w:pPr>
      <w:r>
        <w:rPr>
          <w:b/>
        </w:rPr>
        <w:t xml:space="preserve">Age coverage.</w:t>
      </w:r>
      <w:r>
        <w:t xml:space="preserve"> GBD diphtheria and pertussis appendices say estimates are produced for "post-neonatal to 59 years". Check whether your all-ages GBD download contains values outside this range. If not, notifications in older adults have no GBD counterpart (worth a quick check in your data).</w:t>
      </w:r>
    </w:p>
    <w:p>
      <w:pPr>
        <w:pStyle w:val="ListParagraph"/>
        <w:numPr>
          <w:ilvl w:val="0"/>
          <w:numId w:val="22"/>
        </w:numPr>
      </w:pPr>
      <w:r>
        <w:rPr>
          <w:b/>
        </w:rPr>
        <w:t xml:space="preserve">Cite the GBD round.</w:t>
      </w:r>
      <w:r>
        <w:t xml:space="preserve"> Everything above is GBD 2023 (the floor and mask covariate are new). If you compare with older downloads, the floor will not be present.</w:t>
      </w:r>
    </w:p>
    <w:p>
      <w:pPr>
        <w:pStyle w:val="Heading2"/>
      </w:pPr>
      <w:r>
        <w:t xml:space="preserve">Bibliography</w:t>
      </w:r>
    </w:p>
    <w:p>
      <w:pPr/>
      <w:r>
        <w:t xml:space="preserve">All sources were opened on 22 Oct 2026 unless noted. Read status: "full" = full text read; "partial" = part verbatim, rest via an automated summary; "abstract" = abstract only.</w:t>
      </w:r>
    </w:p>
    <w:p>
      <w:pPr/>
      <w:r>
        <w:rPr>
          <w:b/>
        </w:rPr>
        <w:t xml:space="preserve">GBD</w:t>
      </w:r>
    </w:p>
    <w:p>
      <w:pPr>
        <w:pStyle w:val="ListParagraph"/>
        <w:numPr>
          <w:ilvl w:val="0"/>
          <w:numId w:val="24"/>
        </w:numPr>
      </w:pPr>
      <w:r>
        <w:t xml:space="preserve">GBD 2023 Disease and Injury and Risk Factor Collaborators. Burden of 375 diseases and injuries, risk-attributable burden of 88 risk factors, and healthy life expectancy in 204 countries and territories, including 660 subnational locations, 1990–2023. </w:t>
      </w:r>
      <w:r>
        <w:rPr>
          <w:i/>
        </w:rPr>
        <w:t xml:space="preserve">Lancet</w:t>
      </w:r>
      <w:r>
        <w:t xml:space="preserve"> 2025. doi:10.1016/S0140-6736(25)01637-X. Supplementary appendix 1 (nonfatal methods): diphtheria pp 479–483, pertussis pp 1100–1102, tetanus pp 1204–1208. </w:t>
      </w:r>
      <w:hyperlink r:id="rId24" w:history="1">
        <w:r>
          <w:rPr>
            <w:rStyle w:val="Hyperlink"/>
          </w:rPr>
          <w:t xml:space="preserve">Article</w:t>
        </w:r>
      </w:hyperlink>
      <w:r>
        <w:t xml:space="preserve">. Full (relevant sections).</w:t>
      </w:r>
    </w:p>
    <w:p>
      <w:pPr>
        <w:pStyle w:val="ListParagraph"/>
        <w:numPr>
          <w:ilvl w:val="0"/>
          <w:numId w:val="24"/>
        </w:numPr>
      </w:pPr>
      <w:r>
        <w:t xml:space="preserve">GBD 2023 Causes of Death Collaborators. Global burden of 292 causes of death in 204 countries and territories and 660 subnational locations, 1990–2023. </w:t>
      </w:r>
      <w:r>
        <w:rPr>
          <w:i/>
        </w:rPr>
        <w:t xml:space="preserve">Lancet</w:t>
      </w:r>
      <w:r>
        <w:t xml:space="preserve"> 2025. doi:10.1016/S0140-6736(25)01917-8. Appendix 1: diphtheria pp 440–441, pertussis pp 669–671, tetanus pp 711–712. </w:t>
      </w:r>
      <w:hyperlink r:id="rId25" w:history="1">
        <w:r>
          <w:rPr>
            <w:rStyle w:val="Hyperlink"/>
          </w:rPr>
          <w:t xml:space="preserve">Article</w:t>
        </w:r>
      </w:hyperlink>
      <w:r>
        <w:t xml:space="preserve">. Full (relevant sections).</w:t>
      </w:r>
    </w:p>
    <w:p>
      <w:pPr>
        <w:pStyle w:val="ListParagraph"/>
        <w:numPr>
          <w:ilvl w:val="0"/>
          <w:numId w:val="24"/>
        </w:numPr>
      </w:pPr>
      <w:r>
        <w:t xml:space="preserve">GBD 2023 Pertussis Collaborators, Mosser JF, Liu J. Global, regional and national burden of pertussis in 1990–2023: a Global Burden of Disease study. </w:t>
      </w:r>
      <w:r>
        <w:rPr>
          <w:i/>
        </w:rPr>
        <w:t xml:space="preserve">Nat Med</w:t>
      </w:r>
      <w:r>
        <w:t xml:space="preserve"> 2026 (published 21 Oct 2026). doi:10.1038/s41591-026-04660-8. </w:t>
      </w:r>
      <w:hyperlink r:id="rId6" w:history="1">
        <w:r>
          <w:rPr>
            <w:rStyle w:val="Hyperlink"/>
          </w:rPr>
          <w:t xml:space="preserve">Link</w:t>
        </w:r>
      </w:hyperlink>
      <w:r>
        <w:t xml:space="preserve">. Full (main text and methods).</w:t>
      </w:r>
    </w:p>
    <w:p>
      <w:pPr/>
      <w:r>
        <w:rPr>
          <w:b/>
        </w:rPr>
        <w:t xml:space="preserve">WHO</w:t>
      </w:r>
    </w:p>
    <w:p>
      <w:pPr>
        <w:pStyle w:val="ListParagraph"/>
        <w:numPr>
          <w:ilvl w:val="0"/>
          <w:numId w:val="25"/>
        </w:numPr>
      </w:pPr>
      <w:r>
        <w:t xml:space="preserve">WHO. WHO/UNICEF joint reporting process. </w:t>
      </w:r>
      <w:hyperlink r:id="rId3" w:history="1">
        <w:r>
          <w:rPr>
            <w:rStyle w:val="Hyperlink"/>
          </w:rPr>
          <w:t xml:space="preserve">Link</w:t>
        </w:r>
      </w:hyperlink>
      <w:r>
        <w:t xml:space="preserve">. Full.</w:t>
      </w:r>
    </w:p>
    <w:p>
      <w:pPr>
        <w:pStyle w:val="ListParagraph"/>
        <w:numPr>
          <w:ilvl w:val="0"/>
          <w:numId w:val="25"/>
        </w:numPr>
      </w:pPr>
      <w:r>
        <w:t xml:space="preserve">WHO Immunization Data portal: </w:t>
      </w:r>
      <w:hyperlink r:id="rId17" w:history="1">
        <w:r>
          <w:rPr>
            <w:rStyle w:val="Hyperlink"/>
          </w:rPr>
          <w:t xml:space="preserve">tetanus</w:t>
        </w:r>
      </w:hyperlink>
      <w:r>
        <w:t xml:space="preserve"> and </w:t>
      </w:r>
      <w:hyperlink r:id="rId18" w:history="1">
        <w:r>
          <w:rPr>
            <w:rStyle w:val="Hyperlink"/>
          </w:rPr>
          <w:t xml:space="preserve">pertussis</w:t>
        </w:r>
      </w:hyperlink>
      <w:r>
        <w:t xml:space="preserve"> reported cases pages; </w:t>
      </w:r>
      <w:hyperlink r:id="rId41" w:history="1">
        <w:r>
          <w:rPr>
            <w:rStyle w:val="Hyperlink"/>
          </w:rPr>
          <w:t xml:space="preserve">portal launch news, 3 Nov 2022</w:t>
        </w:r>
      </w:hyperlink>
      <w:r>
        <w:t xml:space="preserve">. Text only (charts not rendered).</w:t>
      </w:r>
    </w:p>
    <w:p>
      <w:pPr>
        <w:pStyle w:val="ListParagraph"/>
        <w:numPr>
          <w:ilvl w:val="0"/>
          <w:numId w:val="25"/>
        </w:numPr>
      </w:pPr>
      <w:r>
        <w:t xml:space="preserve">WHO. Vaccine-Preventable Diseases Surveillance Standards, 2018: </w:t>
      </w:r>
      <w:hyperlink r:id="rId19" w:history="1">
        <w:r>
          <w:rPr>
            <w:rStyle w:val="Hyperlink"/>
          </w:rPr>
          <w:t xml:space="preserve">diphtheria</w:t>
        </w:r>
      </w:hyperlink>
      <w:r>
        <w:t xml:space="preserve">, </w:t>
      </w:r>
      <w:hyperlink r:id="rId21" w:history="1">
        <w:r>
          <w:rPr>
            <w:rStyle w:val="Hyperlink"/>
          </w:rPr>
          <w:t xml:space="preserve">neonatal tetanus</w:t>
        </w:r>
      </w:hyperlink>
      <w:r>
        <w:t xml:space="preserve">, </w:t>
      </w:r>
      <w:hyperlink r:id="rId22" w:history="1">
        <w:r>
          <w:rPr>
            <w:rStyle w:val="Hyperlink"/>
          </w:rPr>
          <w:t xml:space="preserve">non-neonatal tetanus</w:t>
        </w:r>
      </w:hyperlink>
      <w:r>
        <w:t xml:space="preserve">, </w:t>
      </w:r>
      <w:hyperlink r:id="rId20" w:history="1">
        <w:r>
          <w:rPr>
            <w:rStyle w:val="Hyperlink"/>
          </w:rPr>
          <w:t xml:space="preserve">pertussis</w:t>
        </w:r>
      </w:hyperlink>
      <w:r>
        <w:t xml:space="preserve">. Full.</w:t>
      </w:r>
    </w:p>
    <w:p>
      <w:pPr>
        <w:pStyle w:val="ListParagraph"/>
        <w:numPr>
          <w:ilvl w:val="0"/>
          <w:numId w:val="25"/>
        </w:numPr>
      </w:pPr>
      <w:r>
        <w:t xml:space="preserve">WHO Global Health Observatory OData API: indicators </w:t>
      </w:r>
      <w:hyperlink r:id="rId29" w:history="1">
        <w:r>
          <w:rPr>
            <w:rStyle w:val="Hyperlink"/>
          </w:rPr>
          <w:t xml:space="preserve">WHS3_41</w:t>
        </w:r>
      </w:hyperlink>
      <w:r>
        <w:t xml:space="preserve">, </w:t>
      </w:r>
      <w:hyperlink r:id="rId5" w:history="1">
        <w:r>
          <w:rPr>
            <w:rStyle w:val="Hyperlink"/>
          </w:rPr>
          <w:t xml:space="preserve">WHS3_43</w:t>
        </w:r>
      </w:hyperlink>
      <w:r>
        <w:t xml:space="preserve">, </w:t>
      </w:r>
      <w:hyperlink r:id="rId11" w:history="1">
        <w:r>
          <w:rPr>
            <w:rStyle w:val="Hyperlink"/>
          </w:rPr>
          <w:t xml:space="preserve">WHS3_46</w:t>
        </w:r>
      </w:hyperlink>
      <w:r>
        <w:t xml:space="preserve">, </w:t>
      </w:r>
      <w:hyperlink r:id="rId42" w:history="1">
        <w:r>
          <w:rPr>
            <w:rStyle w:val="Hyperlink"/>
          </w:rPr>
          <w:t xml:space="preserve">WHS3_56</w:t>
        </w:r>
      </w:hyperlink>
      <w:r>
        <w:t xml:space="preserve"> and </w:t>
      </w:r>
      <w:hyperlink r:id="rId35" w:history="1">
        <w:r>
          <w:rPr>
            <w:rStyle w:val="Hyperlink"/>
          </w:rPr>
          <w:t xml:space="preserve">WHS4_100</w:t>
        </w:r>
      </w:hyperlink>
      <w:r>
        <w:t xml:space="preserve">. Filtered queries for IND, PAK, BRA, AGO, BWA, BTN, CPV and global; values as of 22 Oct 2026.</w:t>
      </w:r>
    </w:p>
    <w:p>
      <w:pPr>
        <w:pStyle w:val="ListParagraph"/>
        <w:numPr>
          <w:ilvl w:val="0"/>
          <w:numId w:val="25"/>
        </w:numPr>
      </w:pPr>
      <w:r>
        <w:t xml:space="preserve">WHO EMRO. Weekly Epidemiological Monitor 14(36), 5 Sep 2021 (Yemen diphtheria). </w:t>
      </w:r>
      <w:hyperlink r:id="rId28" w:history="1">
        <w:r>
          <w:rPr>
            <w:rStyle w:val="Hyperlink"/>
          </w:rPr>
          <w:t xml:space="preserve">PDF</w:t>
        </w:r>
      </w:hyperlink>
      <w:r>
        <w:t xml:space="preserve">. Full. Also WHO EMRO, </w:t>
      </w:r>
      <w:hyperlink r:id="rId9" w:history="1">
        <w:r>
          <w:rPr>
            <w:rStyle w:val="Hyperlink"/>
          </w:rPr>
          <w:t xml:space="preserve">Epidemiological situation in Yemen: diphtheria</w:t>
        </w:r>
      </w:hyperlink>
      <w:r>
        <w:t xml:space="preserve">, 16 Nov 2023. Full.</w:t>
      </w:r>
    </w:p>
    <w:p>
      <w:pPr>
        <w:pStyle w:val="ListParagraph"/>
        <w:numPr>
          <w:ilvl w:val="0"/>
          <w:numId w:val="25"/>
        </w:numPr>
      </w:pPr>
      <w:r>
        <w:t xml:space="preserve">WHO/UNICEF. Global childhood immunization coverage inches forward…, 15 Jul 2026. </w:t>
      </w:r>
      <w:hyperlink r:id="rId43" w:history="1">
        <w:r>
          <w:rPr>
            <w:rStyle w:val="Hyperlink"/>
          </w:rPr>
          <w:t xml:space="preserve">Link</w:t>
        </w:r>
      </w:hyperlink>
      <w:r>
        <w:t xml:space="preserve">. Full (no DTP case data).</w:t>
      </w:r>
    </w:p>
    <w:p>
      <w:pPr/>
      <w:r>
        <w:rPr>
          <w:b/>
        </w:rPr>
        <w:t xml:space="preserve">Regional agencies</w:t>
      </w:r>
    </w:p>
    <w:p>
      <w:pPr>
        <w:pStyle w:val="ListParagraph"/>
        <w:numPr>
          <w:ilvl w:val="0"/>
          <w:numId w:val="26"/>
        </w:numPr>
      </w:pPr>
      <w:r>
        <w:t xml:space="preserve">Jones CE, Yusuf N, Ahmed B, Kassogue M, Wasley A, Kanu FA. Progress toward achieving and sustaining maternal and neonatal tetanus elimination — worldwide, 2000–2022. </w:t>
      </w:r>
      <w:r>
        <w:rPr>
          <w:i/>
        </w:rPr>
        <w:t xml:space="preserve">MMWR</w:t>
      </w:r>
      <w:r>
        <w:t xml:space="preserve"> 2024;73(28):614–21. doi:10.15585/mmwr.mm7328a1. </w:t>
      </w:r>
      <w:hyperlink r:id="rId23" w:history="1">
        <w:r>
          <w:rPr>
            <w:rStyle w:val="Hyperlink"/>
          </w:rPr>
          <w:t xml:space="preserve">Link</w:t>
        </w:r>
      </w:hyperlink>
      <w:r>
        <w:t xml:space="preserve">. Full.</w:t>
      </w:r>
    </w:p>
    <w:p>
      <w:pPr>
        <w:pStyle w:val="ListParagraph"/>
        <w:numPr>
          <w:ilvl w:val="0"/>
          <w:numId w:val="26"/>
        </w:numPr>
      </w:pPr>
      <w:r>
        <w:t xml:space="preserve">ECDC. Pertussis — Annual Epidemiological Report for 2024. </w:t>
      </w:r>
      <w:hyperlink r:id="rId14" w:history="1">
        <w:r>
          <w:rPr>
            <w:rStyle w:val="Hyperlink"/>
          </w:rPr>
          <w:t xml:space="preserve">Link</w:t>
        </w:r>
      </w:hyperlink>
      <w:r>
        <w:t xml:space="preserve">. Full.</w:t>
      </w:r>
    </w:p>
    <w:p>
      <w:pPr>
        <w:pStyle w:val="ListParagraph"/>
        <w:numPr>
          <w:ilvl w:val="0"/>
          <w:numId w:val="26"/>
        </w:numPr>
      </w:pPr>
      <w:r>
        <w:t xml:space="preserve">ECDC. Diphtheria — Annual Epidemiological Report for 2023 (published 23 Jan 2026). </w:t>
      </w:r>
      <w:hyperlink r:id="rId44" w:history="1">
        <w:r>
          <w:rPr>
            <w:rStyle w:val="Hyperlink"/>
          </w:rPr>
          <w:t xml:space="preserve">Link</w:t>
        </w:r>
      </w:hyperlink>
      <w:r>
        <w:t xml:space="preserve">. Full.</w:t>
      </w:r>
    </w:p>
    <w:p>
      <w:pPr>
        <w:pStyle w:val="ListParagraph"/>
        <w:numPr>
          <w:ilvl w:val="0"/>
          <w:numId w:val="26"/>
        </w:numPr>
      </w:pPr>
      <w:r>
        <w:t xml:space="preserve">PAHO. Epidemiological alert: pertussis, 22 Jul 2024 (</w:t>
      </w:r>
      <w:hyperlink r:id="rId45" w:history="1">
        <w:r>
          <w:rPr>
            <w:rStyle w:val="Hyperlink"/>
          </w:rPr>
          <w:t xml:space="preserve">PDF</w:t>
        </w:r>
      </w:hyperlink>
      <w:r>
        <w:t xml:space="preserve">) and Epidemiological update: pertussis in the Americas, 25 Mar 2026 (</w:t>
      </w:r>
      <w:hyperlink r:id="rId34" w:history="1">
        <w:r>
          <w:rPr>
            <w:rStyle w:val="Hyperlink"/>
          </w:rPr>
          <w:t xml:space="preserve">link</w:t>
        </w:r>
      </w:hyperlink>
      <w:r>
        <w:t xml:space="preserve">). Full.</w:t>
      </w:r>
    </w:p>
    <w:p>
      <w:pPr>
        <w:pStyle w:val="ListParagraph"/>
        <w:numPr>
          <w:ilvl w:val="0"/>
          <w:numId w:val="26"/>
        </w:numPr>
      </w:pPr>
      <w:r>
        <w:t xml:space="preserve">OCHA ReliefWeb. Nigeria: Diphtheria Outbreak – Jan 2023. </w:t>
      </w:r>
      <w:hyperlink r:id="rId30" w:history="1">
        <w:r>
          <w:rPr>
            <w:rStyle w:val="Hyperlink"/>
          </w:rPr>
          <w:t xml:space="preserve">Link</w:t>
        </w:r>
      </w:hyperlink>
      <w:r>
        <w:t xml:space="preserve">. Cached page; compiles WHO/NCDC updates.</w:t>
      </w:r>
    </w:p>
    <w:p>
      <w:pPr/>
      <w:r>
        <w:rPr>
          <w:b/>
        </w:rPr>
        <w:t xml:space="preserve">Peer-reviewed papers</w:t>
      </w:r>
    </w:p>
    <w:p>
      <w:pPr>
        <w:pStyle w:val="ListParagraph"/>
        <w:numPr>
          <w:ilvl w:val="0"/>
          <w:numId w:val="27"/>
        </w:numPr>
      </w:pPr>
      <w:r>
        <w:t xml:space="preserve">Li K, Xie Y, … Chen T. Global patterns of pertussis incidence and vaccination strategies: implications of divergent surveillance data. </w:t>
      </w:r>
      <w:r>
        <w:rPr>
          <w:i/>
        </w:rPr>
        <w:t xml:space="preserve">npj Vaccines</w:t>
      </w:r>
      <w:r>
        <w:t xml:space="preserve"> 2026;11:148. doi:10.1038/s41541-026-01479-9. </w:t>
      </w:r>
      <w:hyperlink r:id="rId15" w:history="1">
        <w:r>
          <w:rPr>
            <w:rStyle w:val="Hyperlink"/>
          </w:rPr>
          <w:t xml:space="preserve">Link</w:t>
        </w:r>
      </w:hyperlink>
      <w:r>
        <w:t xml:space="preserve">. Partial.</w:t>
      </w:r>
    </w:p>
    <w:p>
      <w:pPr>
        <w:pStyle w:val="ListParagraph"/>
        <w:numPr>
          <w:ilvl w:val="0"/>
          <w:numId w:val="27"/>
        </w:numPr>
      </w:pPr>
      <w:r>
        <w:t xml:space="preserve">Dai H, He H, Xu J, et al. Underestimated incidence rate of pertussis in the community: results from active population-based surveillance in Yiwu, China. </w:t>
      </w:r>
      <w:r>
        <w:rPr>
          <w:i/>
        </w:rPr>
        <w:t xml:space="preserve">Microorganisms</w:t>
      </w:r>
      <w:r>
        <w:t xml:space="preserve"> 2024;12(11):2186. doi:10.3390/microorganisms12112186. </w:t>
      </w:r>
      <w:hyperlink r:id="rId7" w:history="1">
        <w:r>
          <w:rPr>
            <w:rStyle w:val="Hyperlink"/>
          </w:rPr>
          <w:t xml:space="preserve">Link</w:t>
        </w:r>
      </w:hyperlink>
      <w:r>
        <w:t xml:space="preserve">. Full.</w:t>
      </w:r>
    </w:p>
    <w:p>
      <w:pPr>
        <w:pStyle w:val="ListParagraph"/>
        <w:numPr>
          <w:ilvl w:val="0"/>
          <w:numId w:val="27"/>
        </w:numPr>
      </w:pPr>
      <w:r>
        <w:t xml:space="preserve">Epidemiological and spatial–temporal clustering characteristics of pertussis in Southwest China, 2013–2024. </w:t>
      </w:r>
      <w:r>
        <w:rPr>
          <w:i/>
        </w:rPr>
        <w:t xml:space="preserve">Front Public Health</w:t>
      </w:r>
      <w:r>
        <w:t xml:space="preserve"> 2025. doi:10.3389/fpubh.2025.1620429. </w:t>
      </w:r>
      <w:hyperlink r:id="rId12" w:history="1">
        <w:r>
          <w:rPr>
            <w:rStyle w:val="Hyperlink"/>
          </w:rPr>
          <w:t xml:space="preserve">Link</w:t>
        </w:r>
      </w:hyperlink>
      <w:r>
        <w:t xml:space="preserve">. Main text read; author list not captured.</w:t>
      </w:r>
    </w:p>
    <w:p>
      <w:pPr>
        <w:pStyle w:val="ListParagraph"/>
        <w:numPr>
          <w:ilvl w:val="0"/>
          <w:numId w:val="27"/>
        </w:numPr>
      </w:pPr>
      <w:r>
        <w:t xml:space="preserve">Liu M, Wei X, Sun J, et al. Molecular epidemiological characteristics of pertussis in a pediatric hospital in Jinan City, China, 2022 to 2024. </w:t>
      </w:r>
      <w:r>
        <w:rPr>
          <w:i/>
        </w:rPr>
        <w:t xml:space="preserve">Front Public Health</w:t>
      </w:r>
      <w:r>
        <w:t xml:space="preserve"> 2025;13:1657953. doi:10.3389/fpubh.2025.1657953. </w:t>
      </w:r>
      <w:hyperlink r:id="rId33" w:history="1">
        <w:r>
          <w:rPr>
            <w:rStyle w:val="Hyperlink"/>
          </w:rPr>
          <w:t xml:space="preserve">Link</w:t>
        </w:r>
      </w:hyperlink>
      <w:r>
        <w:t xml:space="preserve">. Partial.</w:t>
      </w:r>
    </w:p>
    <w:p>
      <w:pPr>
        <w:pStyle w:val="ListParagraph"/>
        <w:numPr>
          <w:ilvl w:val="0"/>
          <w:numId w:val="27"/>
        </w:numPr>
      </w:pPr>
      <w:r>
        <w:t xml:space="preserve">Chen Q, Wang W, Shi X, et al. Seroepidemiology of pertussis in the east of China: estimates of incidence of infection in adolescents and adults pre- and post-COVID-19. </w:t>
      </w:r>
      <w:r>
        <w:rPr>
          <w:i/>
        </w:rPr>
        <w:t xml:space="preserve">Front Public Health</w:t>
      </w:r>
      <w:r>
        <w:t xml:space="preserve"> 2022;10:1054617. doi:10.3389/fpubh.2022.1054617. </w:t>
      </w:r>
      <w:hyperlink r:id="rId26" w:history="1">
        <w:r>
          <w:rPr>
            <w:rStyle w:val="Hyperlink"/>
          </w:rPr>
          <w:t xml:space="preserve">Link</w:t>
        </w:r>
      </w:hyperlink>
      <w:r>
        <w:t xml:space="preserve">. Partial.</w:t>
      </w:r>
    </w:p>
    <w:p>
      <w:pPr>
        <w:pStyle w:val="ListParagraph"/>
        <w:numPr>
          <w:ilvl w:val="0"/>
          <w:numId w:val="27"/>
        </w:numPr>
      </w:pPr>
      <w:r>
        <w:t xml:space="preserve">Sutter RW, et al. Pertussis hospitalizations and mortality in the United States, 1985–1988: evaluation of the completeness of national reporting. </w:t>
      </w:r>
      <w:r>
        <w:rPr>
          <w:i/>
        </w:rPr>
        <w:t xml:space="preserve">JAMA</w:t>
      </w:r>
      <w:r>
        <w:t xml:space="preserve"> 1992. PMID 1309387. </w:t>
      </w:r>
      <w:hyperlink r:id="rId8" w:history="1">
        <w:r>
          <w:rPr>
            <w:rStyle w:val="Hyperlink"/>
          </w:rPr>
          <w:t xml:space="preserve">Link</w:t>
        </w:r>
      </w:hyperlink>
      <w:r>
        <w:t xml:space="preserve">. Abstract.</w:t>
      </w:r>
    </w:p>
    <w:p>
      <w:pPr>
        <w:pStyle w:val="ListParagraph"/>
        <w:numPr>
          <w:ilvl w:val="0"/>
          <w:numId w:val="27"/>
        </w:numPr>
      </w:pPr>
      <w:r>
        <w:t xml:space="preserve">Barros ENC de, Nunes AA, Abreu ADJL de, et al. Pertussis epidemiological pattern and disease burden in Brazil: an analysis of national public health surveillance data. </w:t>
      </w:r>
      <w:r>
        <w:rPr>
          <w:i/>
        </w:rPr>
        <w:t xml:space="preserve">Hum Vaccin Immunother</w:t>
      </w:r>
      <w:r>
        <w:t xml:space="preserve"> 2019;16(1):61–69. doi:10.1080/21645515.2019.1634991. </w:t>
      </w:r>
      <w:hyperlink r:id="rId13" w:history="1">
        <w:r>
          <w:rPr>
            <w:rStyle w:val="Hyperlink"/>
          </w:rPr>
          <w:t xml:space="preserve">Link</w:t>
        </w:r>
      </w:hyperlink>
      <w:r>
        <w:t xml:space="preserve">. Full.</w:t>
      </w:r>
    </w:p>
    <w:p>
      <w:pPr>
        <w:pStyle w:val="ListParagraph"/>
        <w:numPr>
          <w:ilvl w:val="0"/>
          <w:numId w:val="27"/>
        </w:numPr>
      </w:pPr>
      <w:r>
        <w:t xml:space="preserve">Bita Fouda AA, Wiysonge CS, Masresha BG, et al. Resurgence of diphtheria outbreaks in the African Region 2023–2024. </w:t>
      </w:r>
      <w:r>
        <w:rPr>
          <w:i/>
        </w:rPr>
        <w:t xml:space="preserve">Pan Afr Med J</w:t>
      </w:r>
      <w:r>
        <w:t xml:space="preserve"> 2025;51(Suppl 1):29. doi:10.11604/pamj.supp.2025.51.1.48620. </w:t>
      </w:r>
      <w:hyperlink r:id="rId10" w:history="1">
        <w:r>
          <w:rPr>
            <w:rStyle w:val="Hyperlink"/>
          </w:rPr>
          <w:t xml:space="preserve">Link</w:t>
        </w:r>
      </w:hyperlink>
      <w:r>
        <w:t xml:space="preserve">. Full.</w:t>
      </w:r>
    </w:p>
    <w:p>
      <w:pPr>
        <w:pStyle w:val="ListParagraph"/>
        <w:numPr>
          <w:ilvl w:val="0"/>
          <w:numId w:val="27"/>
        </w:numPr>
      </w:pPr>
      <w:r>
        <w:t xml:space="preserve">Kofler J, Ramette A, … Grützmacher B. Ongoing toxin-positive diphtheria outbreaks in a federal asylum centre in Switzerland, July to September 2022. </w:t>
      </w:r>
      <w:r>
        <w:rPr>
          <w:i/>
        </w:rPr>
        <w:t xml:space="preserve">Euro Surveill</w:t>
      </w:r>
      <w:r>
        <w:t xml:space="preserve"> 2022;27(44):2200811. doi:10.2807/1560-7917.ES.2022.27.44.2200811. </w:t>
      </w:r>
      <w:hyperlink r:id="rId32" w:history="1">
        <w:r>
          <w:rPr>
            <w:rStyle w:val="Hyperlink"/>
          </w:rPr>
          <w:t xml:space="preserve">Link</w:t>
        </w:r>
      </w:hyperlink>
      <w:r>
        <w:t xml:space="preserve">. Abstract.</w:t>
      </w:r>
    </w:p>
    <w:p>
      <w:pPr>
        <w:pStyle w:val="ListParagraph"/>
        <w:numPr>
          <w:ilvl w:val="0"/>
          <w:numId w:val="27"/>
        </w:numPr>
      </w:pPr>
      <w:r>
        <w:t xml:space="preserve">Brockhaus L, Urwyler P, Leutwyler U, et al. Diphtheria in a Swiss asylum seeker reception centre: outbreak investigation and evaluation of testing and vaccination strategies. </w:t>
      </w:r>
      <w:r>
        <w:rPr>
          <w:i/>
        </w:rPr>
        <w:t xml:space="preserve">Int J Public Health</w:t>
      </w:r>
      <w:r>
        <w:t xml:space="preserve"> 2024;69:1606791. doi:10.3389/ijph.2024.1606791. </w:t>
      </w:r>
      <w:hyperlink r:id="rId31" w:history="1">
        <w:r>
          <w:rPr>
            <w:rStyle w:val="Hyperlink"/>
          </w:rPr>
          <w:t xml:space="preserve">Link</w:t>
        </w:r>
      </w:hyperlink>
      <w:r>
        <w:t xml:space="preserve">. Full.</w:t>
      </w:r>
    </w:p>
    <w:p>
      <w:pPr>
        <w:pStyle w:val="ListParagraph"/>
        <w:numPr>
          <w:ilvl w:val="0"/>
          <w:numId w:val="27"/>
        </w:numPr>
      </w:pPr>
      <w:r>
        <w:t xml:space="preserve">Wu Z, Lin L, Zhang J, Zhong J, Lai D. Global burden of diphtheria, 1990–2021 (GBD 2021). </w:t>
      </w:r>
      <w:r>
        <w:rPr>
          <w:i/>
        </w:rPr>
        <w:t xml:space="preserve">Front Public Health</w:t>
      </w:r>
      <w:r>
        <w:t xml:space="preserve"> 2025;13:1597076. doi:10.3389/fpubh.2025.1597076. </w:t>
      </w:r>
      <w:hyperlink r:id="rId36" w:history="1">
        <w:r>
          <w:rPr>
            <w:rStyle w:val="Hyperlink"/>
          </w:rPr>
          <w:t xml:space="preserve">Link</w:t>
        </w:r>
      </w:hyperlink>
      <w:r>
        <w:t xml:space="preserve">. Partial.</w:t>
      </w:r>
    </w:p>
    <w:p>
      <w:pPr>
        <w:pStyle w:val="ListParagraph"/>
        <w:numPr>
          <w:ilvl w:val="0"/>
          <w:numId w:val="27"/>
        </w:numPr>
      </w:pPr>
      <w:r>
        <w:t xml:space="preserve">Shattock AJ, Johnson HC, Sim SY, et al. Contribution of vaccination to improved survival and health: modelling 50 years of the Expanded Programme on Immunization. </w:t>
      </w:r>
      <w:r>
        <w:rPr>
          <w:i/>
        </w:rPr>
        <w:t xml:space="preserve">Lancet</w:t>
      </w:r>
      <w:r>
        <w:t xml:space="preserve"> 2024;403:2307–16. doi:10.1016/S0140-6736(24)00850-X. </w:t>
      </w:r>
      <w:hyperlink r:id="rId16" w:history="1">
        <w:r>
          <w:rPr>
            <w:rStyle w:val="Hyperlink"/>
          </w:rPr>
          <w:t xml:space="preserve">Link</w:t>
        </w:r>
      </w:hyperlink>
      <w:r>
        <w:t xml:space="preserve">. Appendix read in full; main text not read.</w:t>
      </w:r>
    </w:p>
    <w:p>
      <w:pPr>
        <w:pStyle w:val="ListParagraph"/>
        <w:numPr>
          <w:ilvl w:val="0"/>
          <w:numId w:val="27"/>
        </w:numPr>
      </w:pPr>
      <w:r>
        <w:t xml:space="preserve">Gaythorpe KAM, Li X, Clapham H, et al. Estimating the impact of vaccination: lessons learned in the first phase of the Vaccine Impact Modelling Consortium. </w:t>
      </w:r>
      <w:r>
        <w:rPr>
          <w:i/>
        </w:rPr>
        <w:t xml:space="preserve">Gates Open Res</w:t>
      </w:r>
      <w:r>
        <w:t xml:space="preserve"> 2024;8:97. doi:10.12688/gatesopenres.15556.1. </w:t>
      </w:r>
      <w:hyperlink r:id="rId37" w:history="1">
        <w:r>
          <w:rPr>
            <w:rStyle w:val="Hyperlink"/>
          </w:rPr>
          <w:t xml:space="preserve">Link</w:t>
        </w:r>
      </w:hyperlink>
      <w:r>
        <w:t xml:space="preserve">. Partial.</w:t>
      </w:r>
    </w:p>
    <w:p>
      <w:pPr/>
      <w:r>
        <w:rPr>
          <w:b/>
        </w:rPr>
        <w:t xml:space="preserve">Other</w:t>
      </w:r>
    </w:p>
    <w:p>
      <w:pPr>
        <w:pStyle w:val="ListParagraph"/>
        <w:numPr>
          <w:ilvl w:val="0"/>
          <w:numId w:val="28"/>
        </w:numPr>
      </w:pPr>
      <w:r>
        <w:t xml:space="preserve">VIMC. Model Standards (c. 2020). </w:t>
      </w:r>
      <w:hyperlink r:id="rId38" w:history="1">
        <w:r>
          <w:rPr>
            <w:rStyle w:val="Hyperlink"/>
          </w:rPr>
          <w:t xml:space="preserve">PDF</w:t>
        </w:r>
      </w:hyperlink>
      <w:r>
        <w:t xml:space="preserve">. Full. UCT MASHA news item, 4 Jun 2024. </w:t>
      </w:r>
      <w:hyperlink r:id="rId39" w:history="1">
        <w:r>
          <w:rPr>
            <w:rStyle w:val="Hyperlink"/>
          </w:rPr>
          <w:t xml:space="preserve">Link</w:t>
        </w:r>
      </w:hyperlink>
      <w:r>
        <w:t xml:space="preserve">. Full.</w:t>
      </w:r>
    </w:p>
    <w:p>
      <w:pPr/>
      <w:r>
        <w:rPr>
          <w:b/>
        </w:rPr>
        <w:t xml:space="preserve">Could not open</w:t>
      </w:r>
      <w:r>
        <w:t xml:space="preserve"> (blocked or rate-limited; claims not used):</w:t>
      </w:r>
    </w:p>
    <w:p>
      <w:pPr>
        <w:pStyle w:val="ListParagraph"/>
        <w:numPr>
          <w:ilvl w:val="0"/>
          <w:numId w:val="29"/>
        </w:numPr>
      </w:pPr>
      <w:r>
        <w:t xml:space="preserve">Yeung KHT et al., </w:t>
      </w:r>
      <w:r>
        <w:rPr>
          <w:i/>
        </w:rPr>
        <w:t xml:space="preserve">Lancet Infect Dis</w:t>
      </w:r>
      <w:r>
        <w:t xml:space="preserve"> 2017;17:974–80, doi:10.1016/S1473-3099(17)30390-0.</w:t>
      </w:r>
    </w:p>
    <w:p>
      <w:pPr>
        <w:pStyle w:val="ListParagraph"/>
        <w:numPr>
          <w:ilvl w:val="0"/>
          <w:numId w:val="29"/>
        </w:numPr>
      </w:pPr>
      <w:r>
        <w:t xml:space="preserve">Crowcroft NS et al., </w:t>
      </w:r>
      <w:r>
        <w:rPr>
          <w:i/>
        </w:rPr>
        <w:t xml:space="preserve">Lancet Infect Dis</w:t>
      </w:r>
      <w:r>
        <w:t xml:space="preserve"> 2003 (PMID 12834898).</w:t>
      </w:r>
    </w:p>
    <w:p>
      <w:pPr>
        <w:pStyle w:val="ListParagraph"/>
        <w:numPr>
          <w:ilvl w:val="0"/>
          <w:numId w:val="29"/>
        </w:numPr>
      </w:pPr>
      <w:r>
        <w:t xml:space="preserve">de Melker HE et al., 2000 (Netherlands pertussis serology).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1"/>
    <w:lvlOverride w:ilvl="0">
      <w:startOverride w:val="1"/>
    </w:lvlOverride>
  </w:num>
  <w:num w:numId="25">
    <w:abstractNumId w:val="1"/>
    <w:lvlOverride w:ilvl="0">
      <w:startOverride w:val="4"/>
    </w:lvlOverride>
  </w:num>
  <w:num w:numId="26">
    <w:abstractNumId w:val="1"/>
    <w:lvlOverride w:ilvl="0">
      <w:startOverride w:val="10"/>
    </w:lvlOverride>
  </w:num>
  <w:num w:numId="27">
    <w:abstractNumId w:val="1"/>
    <w:lvlOverride w:ilvl="0">
      <w:startOverride w:val="15"/>
    </w:lvlOverride>
  </w:num>
  <w:num w:numId="28">
    <w:abstractNumId w:val="1"/>
    <w:lvlOverride w:ilvl="0">
      <w:startOverride w:val="28"/>
    </w:lvlOverride>
  </w:num>
  <w:num w:numId="2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ho.int/teams/immunization-vaccines-and-biologicals/immunization-analysis-and-insights/global-monitoring/who-unicef-joint-reporting-process" TargetMode="External"/><Relationship Id="rId4" Type="http://schemas.openxmlformats.org/officeDocument/2006/relationships/hyperlink" Target="https://www.who.int/publications/m/item/vaccine-preventable-diseases-surveillance-standards-non-neonatal-tetanus" TargetMode="External"/><Relationship Id="rId5" Type="http://schemas.openxmlformats.org/officeDocument/2006/relationships/hyperlink" Target="https://ghoapi.azureedge.net/api/WHS3_43" TargetMode="External"/><Relationship Id="rId6" Type="http://schemas.openxmlformats.org/officeDocument/2006/relationships/hyperlink" Target="https://www.nature.com/articles/s41591-026-04660-8" TargetMode="External"/><Relationship Id="rId7" Type="http://schemas.openxmlformats.org/officeDocument/2006/relationships/hyperlink" Target="https://pmc.ncbi.nlm.nih.gov/articles/PMC11596255/" TargetMode="External"/><Relationship Id="rId8" Type="http://schemas.openxmlformats.org/officeDocument/2006/relationships/hyperlink" Target="https://pubmed.ncbi.nlm.nih.gov/1309387/" TargetMode="External"/><Relationship Id="rId9" Type="http://schemas.openxmlformats.org/officeDocument/2006/relationships/hyperlink" Target="https://www.emro.who.int/yemen/news/epidemiological-situation-in-yemen-diphtheria.html" TargetMode="External"/><Relationship Id="rId10" Type="http://schemas.openxmlformats.org/officeDocument/2006/relationships/hyperlink" Target="https://www.panafrican-med-journal.com/content/series/51/1/29/full" TargetMode="External"/><Relationship Id="rId11" Type="http://schemas.openxmlformats.org/officeDocument/2006/relationships/hyperlink" Target="https://ghoapi.azureedge.net/api/WHS3_46" TargetMode="External"/><Relationship Id="rId12" Type="http://schemas.openxmlformats.org/officeDocument/2006/relationships/hyperlink" Target="https://pmc.ncbi.nlm.nih.gov/articles/PMC12832240/" TargetMode="External"/><Relationship Id="rId13" Type="http://schemas.openxmlformats.org/officeDocument/2006/relationships/hyperlink" Target="https://pmc.ncbi.nlm.nih.gov/articles/PMC7012156/" TargetMode="External"/><Relationship Id="rId14" Type="http://schemas.openxmlformats.org/officeDocument/2006/relationships/hyperlink" Target="https://www.ecdc.europa.eu/en/publications-data/pertussis-annual-epidemiological-report-2024" TargetMode="External"/><Relationship Id="rId15" Type="http://schemas.openxmlformats.org/officeDocument/2006/relationships/hyperlink" Target="https://www.nature.com/articles/s41541-026-01479-9" TargetMode="External"/><Relationship Id="rId16" Type="http://schemas.openxmlformats.org/officeDocument/2006/relationships/hyperlink" Target="https://www.thelancet.com/journals/lancet/article/PIIS0140-6736(24)00850-X/fulltext" TargetMode="External"/><Relationship Id="rId17" Type="http://schemas.openxmlformats.org/officeDocument/2006/relationships/hyperlink" Target="https://immunizationdata.who.int/global/wiise-detail-page/tetanus-reported-cases-and-incidence" TargetMode="External"/><Relationship Id="rId18" Type="http://schemas.openxmlformats.org/officeDocument/2006/relationships/hyperlink" Target="https://immunizationdata.who.int/global/wiise-detail-page/pertussis-reported-cases-and-incidence" TargetMode="External"/><Relationship Id="rId19" Type="http://schemas.openxmlformats.org/officeDocument/2006/relationships/hyperlink" Target="https://cdn.who.int/media/docs/default-source/immunization/vpd_surveillance/vpd-surveillance-standards-publication/who-surveillancevaccinepreventable-04-diphtheria-r2.pdf" TargetMode="External"/><Relationship Id="rId20" Type="http://schemas.openxmlformats.org/officeDocument/2006/relationships/hyperlink" Target="https://cdn.who.int/media/docs/default-source/immunization/vpd_surveillance/vpd-surveillance-standards-publication/who-surveillancevaccinepreventable-16-pertussis-r2.pdf" TargetMode="External"/><Relationship Id="rId21" Type="http://schemas.openxmlformats.org/officeDocument/2006/relationships/hyperlink" Target="https://cdn.who.int/media/docs/default-source/immunization/vpd_surveillance/vpd-surveillance-standards-publication/who-surveillancevaccinepreventable-14-neonataltetanus-r2.pdf" TargetMode="External"/><Relationship Id="rId22" Type="http://schemas.openxmlformats.org/officeDocument/2006/relationships/hyperlink" Target="https://cdn.who.int/media/docs/default-source/immunization/vpd_surveillance/vpd-surveillance-standards-publication/who-surveillancevaccinepreventable-15-nonneonataltetanus-r2.pdf" TargetMode="External"/><Relationship Id="rId23" Type="http://schemas.openxmlformats.org/officeDocument/2006/relationships/hyperlink" Target="https://www.cdc.gov/mmwr/volumes/73/wr/mm7328a1.htm" TargetMode="External"/><Relationship Id="rId24" Type="http://schemas.openxmlformats.org/officeDocument/2006/relationships/hyperlink" Target="https://www.thelancet.com/journals/lancet/article/PIIS0140-6736(25)01637-X/fulltext" TargetMode="External"/><Relationship Id="rId25" Type="http://schemas.openxmlformats.org/officeDocument/2006/relationships/hyperlink" Target="https://www.thelancet.com/journals/lancet/article/PIIS0140-6736(25)01917-8/fulltext" TargetMode="External"/><Relationship Id="rId26" Type="http://schemas.openxmlformats.org/officeDocument/2006/relationships/hyperlink" Target="https://www.frontiersin.org/journals/public-health/articles/10.3389/fpubh.2022.1054617/full" TargetMode="External"/><Relationship Id="rId27" Type="http://schemas.openxmlformats.org/officeDocument/2006/relationships/hyperlink" Target="https://ghdx.healthdata.org/gbd-2023/sources/" TargetMode="External"/><Relationship Id="rId28" Type="http://schemas.openxmlformats.org/officeDocument/2006/relationships/hyperlink" Target="https://applications.emro.who.int/docs/EPI/2021/2224-4220-2021-1436-eng.pdf" TargetMode="External"/><Relationship Id="rId29" Type="http://schemas.openxmlformats.org/officeDocument/2006/relationships/hyperlink" Target="https://ghoapi.azureedge.net/api/WHS3_41" TargetMode="External"/><Relationship Id="rId30" Type="http://schemas.openxmlformats.org/officeDocument/2006/relationships/hyperlink" Target="https://reliefweb.int/disaster/ep-2023-000034-nga" TargetMode="External"/><Relationship Id="rId31" Type="http://schemas.openxmlformats.org/officeDocument/2006/relationships/hyperlink" Target="https://www.ssph-journal.org/journals/international-journal-of-public-health/articles/10.3389/ijph.2024.1606791/full" TargetMode="External"/><Relationship Id="rId32" Type="http://schemas.openxmlformats.org/officeDocument/2006/relationships/hyperlink" Target="https://eurosurveillance.org/content/10.2807/1560-7917.ES.2022.27.44.2200811" TargetMode="External"/><Relationship Id="rId33" Type="http://schemas.openxmlformats.org/officeDocument/2006/relationships/hyperlink" Target="https://www.frontiersin.org/journals/public-health/articles/10.3389/fpubh.2025.1657953/pdf" TargetMode="External"/><Relationship Id="rId34" Type="http://schemas.openxmlformats.org/officeDocument/2006/relationships/hyperlink" Target="https://www.paho.org/en/documents/epidemiological-update-pertussis-whooping-cough-americas-region-25-march-2026" TargetMode="External"/><Relationship Id="rId35" Type="http://schemas.openxmlformats.org/officeDocument/2006/relationships/hyperlink" Target="https://ghoapi.azureedge.net/api/WHS4_100" TargetMode="External"/><Relationship Id="rId36" Type="http://schemas.openxmlformats.org/officeDocument/2006/relationships/hyperlink" Target="https://www.frontiersin.org/journals/public-health/articles/10.3389/fpubh.2025.1597076/full" TargetMode="External"/><Relationship Id="rId37" Type="http://schemas.openxmlformats.org/officeDocument/2006/relationships/hyperlink" Target="https://pmc.ncbi.nlm.nih.gov/articles/PMC11467163/" TargetMode="External"/><Relationship Id="rId38" Type="http://schemas.openxmlformats.org/officeDocument/2006/relationships/hyperlink" Target="https://www.vaccineimpact.org/_files/ugd/ac3c5d_00bb4141a2654e2d85390ebd238b1faa.pdf" TargetMode="External"/><Relationship Id="rId39" Type="http://schemas.openxmlformats.org/officeDocument/2006/relationships/hyperlink" Target="https://science.uct.ac.za/masha/articles/2024-06-04-masha-team-contribute-landmark-study-global-impact-immunisation" TargetMode="External"/><Relationship Id="rId40" Type="http://schemas.openxmlformats.org/officeDocument/2006/relationships/hyperlink" Target="https://explorer.healthdata.org/heatmap?componentType=cause_nf&amp;id=339/" TargetMode="External"/><Relationship Id="rId41" Type="http://schemas.openxmlformats.org/officeDocument/2006/relationships/hyperlink" Target="https://www.who.int/news/item/03-11-2022-who-immunization-data-portal--global--regional-and-country-immunization-data-at-your-fingertips" TargetMode="External"/><Relationship Id="rId42" Type="http://schemas.openxmlformats.org/officeDocument/2006/relationships/hyperlink" Target="https://ghoapi.azureedge.net/api/WHS3_56" TargetMode="External"/><Relationship Id="rId43" Type="http://schemas.openxmlformats.org/officeDocument/2006/relationships/hyperlink" Target="https://www.who.int/news/item/15-07-2026-global-childhood-immunization-coverage-inches-forward-despite-conflict-and-hesitancy---unicef--who" TargetMode="External"/><Relationship Id="rId44" Type="http://schemas.openxmlformats.org/officeDocument/2006/relationships/hyperlink" Target="https://www.ecdc.europa.eu/en/node/41668" TargetMode="External"/><Relationship Id="rId45" Type="http://schemas.openxmlformats.org/officeDocument/2006/relationships/hyperlink" Target="https://paho.org/sites/default/files/2024-07/2024-jul-22-phe-epialert-pertussis-eng-final2.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DTP data GBD 2023 vs WHO reported cases — research brief</dc:title>
  <dc:description>Claude Docs node/5c6838e8-46c6@12 docx-w7</dc:description>
  <cp:revision>12</cp:revision>
</cp:coreProperties>
</file>