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3b0fa9008af2e72b62c2d0f566876ce3ae9d80"/>
    <w:p>
      <w:pPr>
        <w:pStyle w:val="Heading1"/>
      </w:pPr>
      <w:r>
        <w:t xml:space="preserve">Recursive General Relativity as a Class-Conditioned Response Theory</w:t>
      </w:r>
    </w:p>
    <w:p>
      <w:pPr>
        <w:pStyle w:val="FirstParagraph"/>
      </w:pPr>
      <w:r>
        <w:rPr>
          <w:b/>
          <w:bCs/>
        </w:rPr>
        <w:t xml:space="preserve">Benjamin Mayes</w:t>
      </w:r>
    </w:p>
    <w:bookmarkStart w:id="20" w:name="abstract"/>
    <w:p>
      <w:pPr>
        <w:pStyle w:val="Heading2"/>
      </w:pPr>
      <w:r>
        <w:t xml:space="preserve">Abstract</w:t>
      </w:r>
    </w:p>
    <w:p>
      <w:pPr>
        <w:pStyle w:val="FirstParagraph"/>
      </w:pPr>
      <w:r>
        <w:t xml:space="preserve">We propose a contained reformulation of General Relativity in which Einstein gravity is recovered as the smooth fixed-class limit of a broader recursive response structure. The formalism is organized in two layers: a discrete class structure specifying admissibility, regime identity, support organization, and protection status, followed by a continuous logarithmic response law governing observables within the selected class. Within this framework, the standard geometric description of gravitation is preserved as the leading low-burden regime, while strong-regime seams are interpreted either as steep in-class response or as genuine class transitions. This yields a compact language for source dressing, threshold behavior, and regime-dependent observables without relying on additive patch terms.</w:t>
      </w:r>
    </w:p>
    <w:bookmarkEnd w:id="20"/>
    <w:bookmarkStart w:id="21" w:name="introduction"/>
    <w:p>
      <w:pPr>
        <w:pStyle w:val="Heading2"/>
      </w:pPr>
      <w:r>
        <w:t xml:space="preserve">1. Introduction</w:t>
      </w:r>
    </w:p>
    <w:p>
      <w:pPr>
        <w:pStyle w:val="FirstParagraph"/>
      </w:pPr>
      <w:r>
        <w:t xml:space="preserve">General Relativity remains the most successful classical theory of gravitation. Its significance is not exhausted by the familiar statement that gravity has been geometrized. More deeply, the theory reorganizes the relation between gravitation, inertia, and motion into a unified geometric description. In the regime where spacetime response is smooth and the relevant support structure remains fixed, that description is both conceptually powerful and empirically indispensable.</w:t>
      </w:r>
    </w:p>
    <w:p>
      <w:pPr>
        <w:pStyle w:val="BodyText"/>
      </w:pPr>
      <w:r>
        <w:t xml:space="preserve">The purpose of this companion document is to provide a formatting-stable prose-aligned version of the Recursive GR manuscript suitable for</w:t>
      </w:r>
      <w:r>
        <w:t xml:space="preserve"> </w:t>
      </w:r>
      <w:r>
        <w:rPr>
          <w:rStyle w:val="VerbatimChar"/>
        </w:rPr>
        <w:t xml:space="preserve">.docx</w:t>
      </w:r>
      <w:r>
        <w:t xml:space="preserve"> </w:t>
      </w:r>
      <w:r>
        <w:t xml:space="preserve">packaging and sharing. It follows the same contained posture as the LaTeX manuscript and preserves the main formal definitions and equations in a lightweight submission-friendly layout.</w:t>
      </w:r>
    </w:p>
    <w:bookmarkEnd w:id="21"/>
    <w:bookmarkStart w:id="22" w:name="core-formal-definitions"/>
    <w:p>
      <w:pPr>
        <w:pStyle w:val="Heading2"/>
      </w:pPr>
      <w:r>
        <w:t xml:space="preserve">2. Core Formal Definitions</w:t>
      </w:r>
    </w:p>
    <w:p>
      <w:pPr>
        <w:pStyle w:val="FirstParagraph"/>
      </w:pPr>
      <w:r>
        <w:t xml:space="preserve">The native accommodation coordinates are:</w:t>
      </w:r>
    </w:p>
    <w:p>
      <w:pPr>
        <w:pStyle w:val="BodyText"/>
      </w:pPr>
      <m:oMathPara>
        <m:oMathParaPr>
          <m:jc m:val="center"/>
        </m:oMathParaPr>
        <m:oMath>
          <m:r>
            <m:t>x</m:t>
          </m:r>
          <m:r>
            <m:rPr>
              <m:sty m:val="p"/>
            </m:rPr>
            <m:t>=</m:t>
          </m:r>
          <m:d>
            <m:dPr>
              <m:begChr m:val="("/>
              <m:endChr m:val=")"/>
              <m:sepChr m:val=""/>
              <m:grow/>
            </m:dPr>
            <m:e>
              <m:r>
                <m:t>θ</m:t>
              </m:r>
              <m:r>
                <m:rPr>
                  <m:sty m:val="p"/>
                </m:rPr>
                <m:t>,</m:t>
              </m:r>
              <m:r>
                <m:t>a</m:t>
              </m:r>
              <m:r>
                <m:rPr>
                  <m:sty m:val="p"/>
                </m:rPr>
                <m:t>,</m:t>
              </m:r>
              <m:r>
                <m:t>c</m:t>
              </m:r>
              <m:r>
                <m:rPr>
                  <m:sty m:val="p"/>
                </m:rPr>
                <m:t>,</m:t>
              </m:r>
              <m:r>
                <m:t>b</m:t>
              </m:r>
            </m:e>
          </m:d>
        </m:oMath>
      </m:oMathPara>
    </w:p>
    <w:p>
      <w:pPr>
        <w:pStyle w:val="FirstParagraph"/>
      </w:pPr>
      <w:r>
        <w:t xml:space="preserve">The discrete class state is:</w:t>
      </w:r>
    </w:p>
    <w:p>
      <w:pPr>
        <w:pStyle w:val="BodyText"/>
      </w:pPr>
      <m:oMathPara>
        <m:oMathParaPr>
          <m:jc m:val="center"/>
        </m:oMathParaPr>
        <m:oMath>
          <m:r>
            <m:t>K</m:t>
          </m:r>
          <m:r>
            <m:rPr>
              <m:sty m:val="p"/>
            </m:rPr>
            <m:t>=</m:t>
          </m:r>
          <m:d>
            <m:dPr>
              <m:begChr m:val="("/>
              <m:endChr m:val=")"/>
              <m:sepChr m:val=""/>
              <m:grow/>
            </m:dPr>
            <m:e>
              <m:r>
                <m:t>A</m:t>
              </m:r>
              <m:r>
                <m:rPr>
                  <m:sty m:val="p"/>
                </m:rPr>
                <m:t>,</m:t>
              </m:r>
              <m:r>
                <m:t>χ</m:t>
              </m:r>
              <m:r>
                <m:rPr>
                  <m:sty m:val="p"/>
                </m:rPr>
                <m:t>,</m:t>
              </m:r>
              <m:r>
                <m:t>P</m:t>
              </m:r>
              <m:r>
                <m:rPr>
                  <m:sty m:val="p"/>
                </m:rPr>
                <m:t>,</m:t>
              </m:r>
              <m:r>
                <m:t>N</m:t>
              </m:r>
              <m:r>
                <m:rPr>
                  <m:sty m:val="p"/>
                </m:rPr>
                <m:t>,</m:t>
              </m:r>
              <m:r>
                <m:t>C</m:t>
              </m:r>
              <m:r>
                <m:rPr>
                  <m:sty m:val="p"/>
                </m:rPr>
                <m:t>,</m:t>
              </m:r>
              <m:r>
                <m:t>S</m:t>
              </m:r>
            </m:e>
          </m:d>
        </m:oMath>
      </m:oMathPara>
    </w:p>
    <w:p>
      <w:pPr>
        <w:pStyle w:val="FirstParagraph"/>
      </w:pPr>
      <w:r>
        <w:t xml:space="preserve">The logarithmic response field is:</w:t>
      </w:r>
    </w:p>
    <w:p>
      <w:pPr>
        <w:pStyle w:val="BodyText"/>
      </w:pPr>
      <m:oMathPara>
        <m:oMathParaPr>
          <m:jc m:val="center"/>
        </m:oMathParaPr>
        <m:oMath>
          <m:sSub>
            <m:e>
              <m:r>
                <m:t>Δ</m:t>
              </m:r>
            </m:e>
            <m:sub>
              <m:r>
                <m:t>Q</m:t>
              </m:r>
              <m:r>
                <m:rPr>
                  <m:sty m:val="p"/>
                </m:rPr>
                <m:t>|</m:t>
              </m:r>
              <m:r>
                <m:t>K</m:t>
              </m:r>
            </m:sub>
          </m:sSub>
          <m:d>
            <m:dPr>
              <m:begChr m:val="("/>
              <m:endChr m:val=")"/>
              <m:sepChr m:val=""/>
              <m:grow/>
            </m:dPr>
            <m:e>
              <m:r>
                <m:t>x</m:t>
              </m:r>
            </m:e>
          </m:d>
          <m:r>
            <m:rPr>
              <m:sty m:val="p"/>
            </m:rPr>
            <m:t>=</m:t>
          </m:r>
          <m:r>
            <m:rPr>
              <m:sty m:val="p"/>
            </m:rPr>
            <m:t>ln</m:t>
          </m:r>
          <m:d>
            <m:dPr>
              <m:begChr m:val="("/>
              <m:endChr m:val=")"/>
              <m:sepChr m:val=""/>
              <m:grow/>
            </m:dPr>
            <m:e>
              <m:f>
                <m:fPr>
                  <m:type m:val="bar"/>
                </m:fPr>
                <m:num>
                  <m:sSub>
                    <m:e>
                      <m:r>
                        <m:t>Q</m:t>
                      </m:r>
                    </m:e>
                    <m:sub>
                      <m:r>
                        <m:t>K</m:t>
                      </m:r>
                    </m:sub>
                  </m:sSub>
                </m:num>
                <m:den>
                  <m:sSub>
                    <m:e>
                      <m:r>
                        <m:t>Q</m:t>
                      </m:r>
                    </m:e>
                    <m:sub>
                      <m:r>
                        <m:t>K</m:t>
                      </m:r>
                      <m:r>
                        <m:rPr>
                          <m:sty m:val="p"/>
                        </m:rPr>
                        <m:t>,</m:t>
                      </m:r>
                      <m:r>
                        <m:t>0</m:t>
                      </m:r>
                    </m:sub>
                  </m:sSub>
                </m:den>
              </m:f>
            </m:e>
          </m:d>
        </m:oMath>
      </m:oMathPara>
    </w:p>
    <w:p>
      <w:pPr>
        <w:pStyle w:val="FirstParagraph"/>
      </w:pPr>
      <w:r>
        <w:t xml:space="preserve">The master class-conditioned response law is:</w:t>
      </w:r>
    </w:p>
    <w:p>
      <w:pPr>
        <w:pStyle w:val="BodyText"/>
      </w:pPr>
      <m:oMathPara>
        <m:oMathParaPr>
          <m:jc m:val="center"/>
        </m:oMathParaPr>
        <m:oMath>
          <m:sSub>
            <m:e>
              <m:r>
                <m:t>Q</m:t>
              </m:r>
            </m:e>
            <m:sub>
              <m:r>
                <m:t>K</m:t>
              </m:r>
            </m:sub>
          </m:sSub>
          <m:r>
            <m:rPr>
              <m:sty m:val="p"/>
            </m:rPr>
            <m:t>=</m:t>
          </m:r>
          <m:sSub>
            <m:e>
              <m:r>
                <m:t>Q</m:t>
              </m:r>
            </m:e>
            <m:sub>
              <m:r>
                <m:t>K</m:t>
              </m:r>
              <m:r>
                <m:rPr>
                  <m:sty m:val="p"/>
                </m:rPr>
                <m:t>,</m:t>
              </m:r>
              <m:r>
                <m:t>0</m:t>
              </m:r>
            </m:sub>
          </m:sSub>
          <m:r>
            <m:rPr>
              <m:sty m:val="p"/>
            </m:rPr>
            <m:t>exp</m:t>
          </m:r>
          <m:d>
            <m:dPr>
              <m:begChr m:val="("/>
              <m:endChr m:val=")"/>
              <m:sepChr m:val=""/>
              <m:grow/>
            </m:dPr>
            <m:e>
              <m:sSub>
                <m:e>
                  <m:r>
                    <m:t>Δ</m:t>
                  </m:r>
                </m:e>
                <m:sub>
                  <m:r>
                    <m:t>Q</m:t>
                  </m:r>
                  <m:r>
                    <m:rPr>
                      <m:sty m:val="p"/>
                    </m:rPr>
                    <m:t>|</m:t>
                  </m:r>
                  <m:r>
                    <m:t>K</m:t>
                  </m:r>
                </m:sub>
              </m:sSub>
              <m:d>
                <m:dPr>
                  <m:begChr m:val="("/>
                  <m:endChr m:val=")"/>
                  <m:sepChr m:val=""/>
                  <m:grow/>
                </m:dPr>
                <m:e>
                  <m:r>
                    <m:t>x</m:t>
                  </m:r>
                </m:e>
              </m:d>
            </m:e>
          </m:d>
        </m:oMath>
      </m:oMathPara>
    </w:p>
    <w:p>
      <w:pPr>
        <w:pStyle w:val="FirstParagraph"/>
      </w:pPr>
      <w:r>
        <w:t xml:space="preserve">The threshold gap is:</w:t>
      </w:r>
    </w:p>
    <w:p>
      <w:pPr>
        <w:pStyle w:val="BodyText"/>
      </w:pPr>
      <m:oMathPara>
        <m:oMathParaPr>
          <m:jc m:val="center"/>
        </m:oMathParaPr>
        <m:oMath>
          <m:sSub>
            <m:e>
              <m:r>
                <m:t>Γ</m:t>
              </m:r>
            </m:e>
            <m:sub>
              <m:r>
                <m:t>X</m:t>
              </m:r>
              <m:r>
                <m:rPr>
                  <m:sty m:val="p"/>
                </m:rPr>
                <m:t>|</m:t>
              </m:r>
              <m:r>
                <m:t>K</m:t>
              </m:r>
            </m:sub>
          </m:sSub>
          <m:r>
            <m:rPr>
              <m:sty m:val="p"/>
            </m:rPr>
            <m:t>=</m:t>
          </m:r>
          <m:r>
            <m:rPr>
              <m:sty m:val="p"/>
            </m:rPr>
            <m:t>ln</m:t>
          </m:r>
          <m:d>
            <m:dPr>
              <m:begChr m:val="("/>
              <m:endChr m:val=")"/>
              <m:sepChr m:val=""/>
              <m:grow/>
            </m:dPr>
            <m:e>
              <m:f>
                <m:fPr>
                  <m:type m:val="bar"/>
                </m:fPr>
                <m:num>
                  <m:sSub>
                    <m:e>
                      <m:r>
                        <m:t>X</m:t>
                      </m:r>
                    </m:e>
                    <m:sub>
                      <m:r>
                        <m:t>K</m:t>
                      </m:r>
                    </m:sub>
                  </m:sSub>
                </m:num>
                <m:den>
                  <m:sSub>
                    <m:e>
                      <m:r>
                        <m:t>X</m:t>
                      </m:r>
                    </m:e>
                    <m:sub>
                      <m:r>
                        <m:rPr>
                          <m:sty m:val="p"/>
                        </m:rPr>
                        <m:t>c</m:t>
                      </m:r>
                      <m:r>
                        <m:rPr>
                          <m:sty m:val="p"/>
                        </m:rPr>
                        <m:t>r</m:t>
                      </m:r>
                      <m:r>
                        <m:rPr>
                          <m:sty m:val="p"/>
                        </m:rPr>
                        <m:t>i</m:t>
                      </m:r>
                      <m:r>
                        <m:rPr>
                          <m:sty m:val="p"/>
                        </m:rPr>
                        <m:t>t</m:t>
                      </m:r>
                      <m:r>
                        <m:rPr>
                          <m:sty m:val="p"/>
                        </m:rPr>
                        <m:t>,</m:t>
                      </m:r>
                      <m:r>
                        <m:t>K</m:t>
                      </m:r>
                    </m:sub>
                  </m:sSub>
                </m:den>
              </m:f>
            </m:e>
          </m:d>
        </m:oMath>
      </m:oMathPara>
    </w:p>
    <w:p>
      <w:pPr>
        <w:pStyle w:val="FirstParagraph"/>
      </w:pPr>
      <w:r>
        <w:t xml:space="preserve">The selector gap is:</w:t>
      </w:r>
    </w:p>
    <w:p>
      <w:pPr>
        <w:pStyle w:val="BodyText"/>
      </w:pPr>
      <m:oMathPara>
        <m:oMathParaPr>
          <m:jc m:val="center"/>
        </m:oMathParaPr>
        <m:oMath>
          <m:sSub>
            <m:e>
              <m:r>
                <m:t>Σ</m:t>
              </m:r>
            </m:e>
            <m:sub>
              <m:r>
                <m:t>α</m:t>
              </m:r>
              <m:r>
                <m:t>β</m:t>
              </m:r>
              <m:r>
                <m:rPr>
                  <m:sty m:val="p"/>
                </m:rPr>
                <m:t>|</m:t>
              </m:r>
              <m:r>
                <m:t>K</m:t>
              </m:r>
            </m:sub>
          </m:sSub>
          <m:r>
            <m:rPr>
              <m:sty m:val="p"/>
            </m:rPr>
            <m:t>=</m:t>
          </m:r>
          <m:r>
            <m:rPr>
              <m:sty m:val="p"/>
            </m:rPr>
            <m:t>ln</m:t>
          </m:r>
          <m:d>
            <m:dPr>
              <m:begChr m:val="("/>
              <m:endChr m:val=")"/>
              <m:sepChr m:val=""/>
              <m:grow/>
            </m:dPr>
            <m:e>
              <m:f>
                <m:fPr>
                  <m:type m:val="bar"/>
                </m:fPr>
                <m:num>
                  <m:sSub>
                    <m:e>
                      <m:r>
                        <m:t>Π</m:t>
                      </m:r>
                    </m:e>
                    <m:sub>
                      <m:r>
                        <m:t>α</m:t>
                      </m:r>
                      <m:r>
                        <m:rPr>
                          <m:sty m:val="p"/>
                        </m:rPr>
                        <m:t>|</m:t>
                      </m:r>
                      <m:r>
                        <m:t>K</m:t>
                      </m:r>
                    </m:sub>
                  </m:sSub>
                </m:num>
                <m:den>
                  <m:sSub>
                    <m:e>
                      <m:r>
                        <m:t>Π</m:t>
                      </m:r>
                    </m:e>
                    <m:sub>
                      <m:r>
                        <m:t>β</m:t>
                      </m:r>
                      <m:r>
                        <m:rPr>
                          <m:sty m:val="p"/>
                        </m:rPr>
                        <m:t>|</m:t>
                      </m:r>
                      <m:r>
                        <m:t>K</m:t>
                      </m:r>
                    </m:sub>
                  </m:sSub>
                </m:den>
              </m:f>
            </m:e>
          </m:d>
        </m:oMath>
      </m:oMathPara>
    </w:p>
    <w:bookmarkEnd w:id="22"/>
    <w:bookmarkStart w:id="23" w:name="einstein-recovery"/>
    <w:p>
      <w:pPr>
        <w:pStyle w:val="Heading2"/>
      </w:pPr>
      <w:r>
        <w:t xml:space="preserve">3. Einstein Recovery</w:t>
      </w:r>
    </w:p>
    <w:p>
      <w:pPr>
        <w:pStyle w:val="FirstParagraph"/>
      </w:pPr>
      <w:r>
        <w:t xml:space="preserve">Recursive General Relativity does not begin by displacing Einstein gravity. Its first task is to clarify the formal status of Einstein gravity’s success. The effective source law is written as:</w:t>
      </w:r>
    </w:p>
    <w:p>
      <w:pPr>
        <w:pStyle w:val="BodyText"/>
      </w:pPr>
      <m:oMathPara>
        <m:oMathParaPr>
          <m:jc m:val="center"/>
        </m:oMathParaPr>
        <m:oMath>
          <m:sSubSup>
            <m:e>
              <m:r>
                <m:t>T</m:t>
              </m:r>
            </m:e>
            <m:sub>
              <m:r>
                <m:t>μ</m:t>
              </m:r>
              <m:r>
                <m:t>ν</m:t>
              </m:r>
              <m:r>
                <m:rPr>
                  <m:sty m:val="p"/>
                </m:rPr>
                <m:t>|</m:t>
              </m:r>
              <m:r>
                <m:t>K</m:t>
              </m:r>
            </m:sub>
            <m:sup>
              <m:r>
                <m:rPr>
                  <m:sty m:val="p"/>
                </m:rPr>
                <m:t>e</m:t>
              </m:r>
              <m:r>
                <m:rPr>
                  <m:sty m:val="p"/>
                </m:rPr>
                <m:t>f</m:t>
              </m:r>
              <m:r>
                <m:rPr>
                  <m:sty m:val="p"/>
                </m:rPr>
                <m:t>f</m:t>
              </m:r>
            </m:sup>
          </m:sSubSup>
          <m:r>
            <m:rPr>
              <m:sty m:val="p"/>
            </m:rPr>
            <m:t>=</m:t>
          </m:r>
          <m:sSubSup>
            <m:e>
              <m:r>
                <m:t>T</m:t>
              </m:r>
            </m:e>
            <m:sub>
              <m:r>
                <m:t>μ</m:t>
              </m:r>
              <m:r>
                <m:t>ν</m:t>
              </m:r>
              <m:r>
                <m:rPr>
                  <m:sty m:val="p"/>
                </m:rPr>
                <m:t>|</m:t>
              </m:r>
              <m:r>
                <m:t>K</m:t>
              </m:r>
            </m:sub>
            <m:sup>
              <m:r>
                <m:rPr>
                  <m:sty m:val="p"/>
                </m:rPr>
                <m:t>G</m:t>
              </m:r>
              <m:r>
                <m:rPr>
                  <m:sty m:val="p"/>
                </m:rPr>
                <m:t>R</m:t>
              </m:r>
            </m:sup>
          </m:sSubSup>
          <m:r>
            <m:rPr>
              <m:sty m:val="p"/>
            </m:rPr>
            <m:t>exp</m:t>
          </m:r>
          <m:d>
            <m:dPr>
              <m:begChr m:val="("/>
              <m:endChr m:val=")"/>
              <m:sepChr m:val=""/>
              <m:grow/>
            </m:dPr>
            <m:e>
              <m:sSub>
                <m:e>
                  <m:r>
                    <m:t>Δ</m:t>
                  </m:r>
                </m:e>
                <m:sub>
                  <m:sSub>
                    <m:e>
                      <m:r>
                        <m:t>T</m:t>
                      </m:r>
                    </m:e>
                    <m:sub>
                      <m:r>
                        <m:t>μ</m:t>
                      </m:r>
                      <m:r>
                        <m:t>ν</m:t>
                      </m:r>
                    </m:sub>
                  </m:sSub>
                  <m:r>
                    <m:rPr>
                      <m:sty m:val="p"/>
                    </m:rPr>
                    <m:t>|</m:t>
                  </m:r>
                  <m:r>
                    <m:t>K</m:t>
                  </m:r>
                </m:sub>
              </m:sSub>
            </m:e>
          </m:d>
        </m:oMath>
      </m:oMathPara>
    </w:p>
    <w:p>
      <w:pPr>
        <w:pStyle w:val="FirstParagraph"/>
      </w:pPr>
      <w:r>
        <w:t xml:space="preserve">The class-conditioned field equation is:</w:t>
      </w:r>
    </w:p>
    <w:p>
      <w:pPr>
        <w:pStyle w:val="BodyText"/>
      </w:pPr>
      <m:oMathPara>
        <m:oMathParaPr>
          <m:jc m:val="center"/>
        </m:oMathParaPr>
        <m:oMath>
          <m:sSub>
            <m:e>
              <m:r>
                <m:t>G</m:t>
              </m:r>
            </m:e>
            <m:sub>
              <m:r>
                <m:t>μ</m:t>
              </m:r>
              <m:r>
                <m:t>ν</m:t>
              </m:r>
              <m:r>
                <m:rPr>
                  <m:sty m:val="p"/>
                </m:rPr>
                <m:t>|</m:t>
              </m:r>
              <m:r>
                <m:t>K</m:t>
              </m:r>
            </m:sub>
          </m:sSub>
          <m:r>
            <m:rPr>
              <m:sty m:val="p"/>
            </m:rPr>
            <m:t>=</m:t>
          </m:r>
          <m:r>
            <m:t>8</m:t>
          </m:r>
          <m:r>
            <m:t>π</m:t>
          </m:r>
          <m:sSubSup>
            <m:e>
              <m:r>
                <m:t>T</m:t>
              </m:r>
            </m:e>
            <m:sub>
              <m:r>
                <m:t>μ</m:t>
              </m:r>
              <m:r>
                <m:t>ν</m:t>
              </m:r>
              <m:r>
                <m:rPr>
                  <m:sty m:val="p"/>
                </m:rPr>
                <m:t>|</m:t>
              </m:r>
              <m:r>
                <m:t>K</m:t>
              </m:r>
            </m:sub>
            <m:sup>
              <m:r>
                <m:rPr>
                  <m:sty m:val="p"/>
                </m:rPr>
                <m:t>e</m:t>
              </m:r>
              <m:r>
                <m:rPr>
                  <m:sty m:val="p"/>
                </m:rPr>
                <m:t>f</m:t>
              </m:r>
              <m:r>
                <m:rPr>
                  <m:sty m:val="p"/>
                </m:rPr>
                <m:t>f</m:t>
              </m:r>
            </m:sup>
          </m:sSubSup>
        </m:oMath>
      </m:oMathPara>
    </w:p>
    <w:p>
      <w:pPr>
        <w:pStyle w:val="FirstParagraph"/>
      </w:pPr>
      <w:r>
        <w:t xml:space="preserve">In the fixed-class weak-dressing limit, one recovers Einstein gravity:</w:t>
      </w:r>
    </w:p>
    <w:p>
      <w:pPr>
        <w:pStyle w:val="BodyText"/>
      </w:pPr>
      <m:oMathPara>
        <m:oMathParaPr>
          <m:jc m:val="center"/>
        </m:oMathParaPr>
        <m:oMath>
          <m:sSub>
            <m:e>
              <m:r>
                <m:t>G</m:t>
              </m:r>
            </m:e>
            <m:sub>
              <m:r>
                <m:t>μ</m:t>
              </m:r>
              <m:r>
                <m:t>ν</m:t>
              </m:r>
              <m:r>
                <m:rPr>
                  <m:sty m:val="p"/>
                </m:rPr>
                <m:t>|</m:t>
              </m:r>
              <m:sSub>
                <m:e>
                  <m:r>
                    <m:t>K</m:t>
                  </m:r>
                </m:e>
                <m:sub>
                  <m:r>
                    <m:rPr>
                      <m:sty m:val="p"/>
                    </m:rPr>
                    <m:t>G</m:t>
                  </m:r>
                  <m:r>
                    <m:rPr>
                      <m:sty m:val="p"/>
                    </m:rPr>
                    <m:t>R</m:t>
                  </m:r>
                </m:sub>
              </m:sSub>
            </m:sub>
          </m:sSub>
          <m:r>
            <m:rPr>
              <m:sty m:val="p"/>
            </m:rPr>
            <m:t>=</m:t>
          </m:r>
          <m:r>
            <m:t>8</m:t>
          </m:r>
          <m:r>
            <m:t>π</m:t>
          </m:r>
          <m:sSubSup>
            <m:e>
              <m:r>
                <m:t>T</m:t>
              </m:r>
            </m:e>
            <m:sub>
              <m:r>
                <m:t>μ</m:t>
              </m:r>
              <m:r>
                <m:t>ν</m:t>
              </m:r>
              <m:r>
                <m:rPr>
                  <m:sty m:val="p"/>
                </m:rPr>
                <m:t>|</m:t>
              </m:r>
              <m:sSub>
                <m:e>
                  <m:r>
                    <m:t>K</m:t>
                  </m:r>
                </m:e>
                <m:sub>
                  <m:r>
                    <m:rPr>
                      <m:sty m:val="p"/>
                    </m:rPr>
                    <m:t>G</m:t>
                  </m:r>
                  <m:r>
                    <m:rPr>
                      <m:sty m:val="p"/>
                    </m:rPr>
                    <m:t>R</m:t>
                  </m:r>
                </m:sub>
              </m:sSub>
            </m:sub>
            <m:sup>
              <m:r>
                <m:rPr>
                  <m:sty m:val="p"/>
                </m:rPr>
                <m:t>G</m:t>
              </m:r>
              <m:r>
                <m:rPr>
                  <m:sty m:val="p"/>
                </m:rPr>
                <m:t>R</m:t>
              </m:r>
            </m:sup>
          </m:sSubSup>
        </m:oMath>
      </m:oMathPara>
    </w:p>
    <w:bookmarkEnd w:id="23"/>
    <w:bookmarkStart w:id="24" w:name="X7858b7df4db2400d3197a3d9ec30e352b4f36c7"/>
    <w:p>
      <w:pPr>
        <w:pStyle w:val="Heading2"/>
      </w:pPr>
      <w:r>
        <w:t xml:space="preserve">4. Contained Bridge to Local Field Description</w:t>
      </w:r>
    </w:p>
    <w:p>
      <w:pPr>
        <w:pStyle w:val="FirstParagraph"/>
      </w:pPr>
      <w:r>
        <w:t xml:space="preserve">A useful contained interpretation is to treat spacetime as the effective large-scale geometry of an organized oscillatory transport field rather than as a passive background. At coarse scale one may summarize this organization by:</w:t>
      </w:r>
    </w:p>
    <w:p>
      <w:pPr>
        <w:pStyle w:val="BodyText"/>
      </w:pPr>
      <m:oMathPara>
        <m:oMathParaPr>
          <m:jc m:val="center"/>
        </m:oMathParaPr>
        <m:oMath>
          <m:r>
            <m:t>Ψ</m:t>
          </m:r>
          <m:d>
            <m:dPr>
              <m:begChr m:val="("/>
              <m:endChr m:val=")"/>
              <m:sepChr m:val=""/>
              <m:grow/>
            </m:dPr>
            <m:e>
              <m:r>
                <m:t>x</m:t>
              </m:r>
              <m:r>
                <m:rPr>
                  <m:sty m:val="p"/>
                </m:rPr>
                <m:t>,</m:t>
              </m:r>
              <m:r>
                <m:t>t</m:t>
              </m:r>
            </m:e>
          </m:d>
          <m:r>
            <m:rPr>
              <m:sty m:val="p"/>
            </m:rPr>
            <m:t>=</m:t>
          </m:r>
          <m:r>
            <m:t>ρ</m:t>
          </m:r>
          <m:d>
            <m:dPr>
              <m:begChr m:val="("/>
              <m:endChr m:val=")"/>
              <m:sepChr m:val=""/>
              <m:grow/>
            </m:dPr>
            <m:e>
              <m:r>
                <m:t>x</m:t>
              </m:r>
              <m:r>
                <m:rPr>
                  <m:sty m:val="p"/>
                </m:rPr>
                <m:t>,</m:t>
              </m:r>
              <m:r>
                <m:t>t</m:t>
              </m:r>
            </m:e>
          </m:d>
          <m:sSup>
            <m:e>
              <m:r>
                <m:t>e</m:t>
              </m:r>
            </m:e>
            <m:sup>
              <m:r>
                <m:t>i</m:t>
              </m:r>
              <m:r>
                <m:t>ϕ</m:t>
              </m:r>
              <m:d>
                <m:dPr>
                  <m:begChr m:val="("/>
                  <m:endChr m:val=")"/>
                  <m:sepChr m:val=""/>
                  <m:grow/>
                </m:dPr>
                <m:e>
                  <m:r>
                    <m:t>x</m:t>
                  </m:r>
                  <m:r>
                    <m:rPr>
                      <m:sty m:val="p"/>
                    </m:rPr>
                    <m:t>,</m:t>
                  </m:r>
                  <m:r>
                    <m:t>t</m:t>
                  </m:r>
                </m:e>
              </m:d>
            </m:sup>
          </m:sSup>
        </m:oMath>
      </m:oMathPara>
    </w:p>
    <w:p>
      <w:pPr>
        <w:pStyle w:val="FirstParagraph"/>
      </w:pPr>
      <w:r>
        <w:t xml:space="preserve">In this reading, time corresponds to coherent phase advance, space to effective transport adjacency, curvature to nonuniformity in the organization of the field, and matter to persistent defect structure within the same fabric. This is used here only as a controlled interpretive bridge between smooth geometry and local sector description.</w:t>
      </w:r>
    </w:p>
    <w:bookmarkEnd w:id="24"/>
    <w:bookmarkStart w:id="25" w:name="canonical-exemplar"/>
    <w:p>
      <w:pPr>
        <w:pStyle w:val="Heading2"/>
      </w:pPr>
      <w:r>
        <w:t xml:space="preserve">5. Canonical Exemplar</w:t>
      </w:r>
    </w:p>
    <w:p>
      <w:pPr>
        <w:pStyle w:val="FirstParagraph"/>
      </w:pPr>
      <w:r>
        <w:t xml:space="preserve">The seam/framing sector provides the first closed exemplar of the architecture. The onset of breaking is written as a genuine class transition:</w:t>
      </w:r>
    </w:p>
    <w:p>
      <w:pPr>
        <w:pStyle w:val="BodyText"/>
      </w:pPr>
      <m:oMathPara>
        <m:oMathParaPr>
          <m:jc m:val="center"/>
        </m:oMathParaPr>
        <m:oMath>
          <m:sSub>
            <m:e>
              <m:r>
                <m:t>K</m:t>
              </m:r>
            </m:e>
            <m:sub>
              <m:r>
                <m:rPr>
                  <m:sty m:val="p"/>
                </m:rPr>
                <m:t>p</m:t>
              </m:r>
              <m:r>
                <m:rPr>
                  <m:sty m:val="p"/>
                </m:rPr>
                <m:t>r</m:t>
              </m:r>
              <m:r>
                <m:rPr>
                  <m:sty m:val="p"/>
                </m:rPr>
                <m:t>e</m:t>
              </m:r>
            </m:sub>
          </m:sSub>
          <m:r>
            <m:rPr>
              <m:sty m:val="p"/>
            </m:rPr>
            <m:t>→</m:t>
          </m:r>
          <m:sSub>
            <m:e>
              <m:r>
                <m:t>K</m:t>
              </m:r>
            </m:e>
            <m:sub>
              <m:r>
                <m:rPr>
                  <m:sty m:val="p"/>
                </m:rPr>
                <m:t>b</m:t>
              </m:r>
              <m:r>
                <m:rPr>
                  <m:sty m:val="p"/>
                </m:rPr>
                <m:t>r</m:t>
              </m:r>
              <m:r>
                <m:rPr>
                  <m:sty m:val="p"/>
                </m:rPr>
                <m:t>o</m:t>
              </m:r>
              <m:r>
                <m:rPr>
                  <m:sty m:val="p"/>
                </m:rPr>
                <m:t>k</m:t>
              </m:r>
              <m:r>
                <m:rPr>
                  <m:sty m:val="p"/>
                </m:rPr>
                <m:t>e</m:t>
              </m:r>
              <m:r>
                <m:rPr>
                  <m:sty m:val="p"/>
                </m:rPr>
                <m:t>n</m:t>
              </m:r>
            </m:sub>
          </m:sSub>
        </m:oMath>
      </m:oMathPara>
    </w:p>
    <w:p>
      <w:pPr>
        <w:pStyle w:val="FirstParagraph"/>
      </w:pPr>
      <w:r>
        <w:t xml:space="preserve">Within the broken neutral class, the protected mode obeys:</w:t>
      </w:r>
    </w:p>
    <w:p>
      <w:pPr>
        <w:pStyle w:val="BodyText"/>
      </w:pPr>
      <m:oMathPara>
        <m:oMathParaPr>
          <m:jc m:val="center"/>
        </m:oMathParaPr>
        <m:oMath>
          <m:sSub>
            <m:e>
              <m:r>
                <m:t>m</m:t>
              </m:r>
            </m:e>
            <m:sub>
              <m:r>
                <m:t>A</m:t>
              </m:r>
            </m:sub>
          </m:sSub>
          <m:r>
            <m:rPr>
              <m:sty m:val="p"/>
            </m:rPr>
            <m:t>=</m:t>
          </m:r>
          <m:r>
            <m:t>0</m:t>
          </m:r>
        </m:oMath>
      </m:oMathPara>
    </w:p>
    <w:p>
      <w:pPr>
        <w:pStyle w:val="FirstParagraph"/>
      </w:pPr>
      <w:r>
        <w:t xml:space="preserve">The burdened neutral and charged modes obey:</w:t>
      </w:r>
    </w:p>
    <w:p>
      <w:pPr>
        <w:pStyle w:val="BodyText"/>
      </w:pPr>
      <m:oMathPara>
        <m:oMathParaPr>
          <m:jc m:val="center"/>
        </m:oMathParaPr>
        <m:oMath>
          <m:sSub>
            <m:e>
              <m:r>
                <m:t>m</m:t>
              </m:r>
            </m:e>
            <m:sub>
              <m:r>
                <m:t>Z</m:t>
              </m:r>
            </m:sub>
          </m:sSub>
          <m:r>
            <m:rPr>
              <m:sty m:val="p"/>
            </m:rPr>
            <m:t>=</m:t>
          </m:r>
          <m:sSub>
            <m:e>
              <m:r>
                <m:t>m</m:t>
              </m:r>
            </m:e>
            <m:sub>
              <m:r>
                <m:t>Z</m:t>
              </m:r>
              <m:r>
                <m:rPr>
                  <m:sty m:val="p"/>
                </m:rPr>
                <m:t>,</m:t>
              </m:r>
              <m:r>
                <m:t>0</m:t>
              </m:r>
            </m:sub>
          </m:sSub>
          <m:r>
            <m:rPr>
              <m:sty m:val="p"/>
            </m:rPr>
            <m:t>exp</m:t>
          </m:r>
          <m:d>
            <m:dPr>
              <m:begChr m:val="("/>
              <m:endChr m:val=")"/>
              <m:sepChr m:val=""/>
              <m:grow/>
            </m:dPr>
            <m:e>
              <m:sSub>
                <m:e>
                  <m:r>
                    <m:t>Δ</m:t>
                  </m:r>
                </m:e>
                <m:sub>
                  <m:sSub>
                    <m:e>
                      <m:r>
                        <m:t>m</m:t>
                      </m:r>
                    </m:e>
                    <m:sub>
                      <m:r>
                        <m:t>Z</m:t>
                      </m:r>
                    </m:sub>
                  </m:sSub>
                  <m:r>
                    <m:rPr>
                      <m:sty m:val="p"/>
                    </m:rPr>
                    <m:t>|</m:t>
                  </m:r>
                  <m:sSub>
                    <m:e>
                      <m:r>
                        <m:t>K</m:t>
                      </m:r>
                    </m:e>
                    <m:sub>
                      <m:r>
                        <m:t>Z</m:t>
                      </m:r>
                    </m:sub>
                  </m:sSub>
                </m:sub>
              </m:sSub>
            </m:e>
          </m:d>
        </m:oMath>
      </m:oMathPara>
    </w:p>
    <w:p>
      <w:pPr>
        <w:pStyle w:val="FirstParagraph"/>
      </w:pPr>
      <m:oMathPara>
        <m:oMathParaPr>
          <m:jc m:val="center"/>
        </m:oMathParaPr>
        <m:oMath>
          <m:sSub>
            <m:e>
              <m:r>
                <m:t>m</m:t>
              </m:r>
            </m:e>
            <m:sub>
              <m:r>
                <m:t>W</m:t>
              </m:r>
            </m:sub>
          </m:sSub>
          <m:r>
            <m:rPr>
              <m:sty m:val="p"/>
            </m:rPr>
            <m:t>=</m:t>
          </m:r>
          <m:sSub>
            <m:e>
              <m:r>
                <m:t>m</m:t>
              </m:r>
            </m:e>
            <m:sub>
              <m:r>
                <m:t>W</m:t>
              </m:r>
              <m:r>
                <m:rPr>
                  <m:sty m:val="p"/>
                </m:rPr>
                <m:t>,</m:t>
              </m:r>
              <m:r>
                <m:t>0</m:t>
              </m:r>
            </m:sub>
          </m:sSub>
          <m:r>
            <m:rPr>
              <m:sty m:val="p"/>
            </m:rPr>
            <m:t>exp</m:t>
          </m:r>
          <m:d>
            <m:dPr>
              <m:begChr m:val="("/>
              <m:endChr m:val=")"/>
              <m:sepChr m:val=""/>
              <m:grow/>
            </m:dPr>
            <m:e>
              <m:sSub>
                <m:e>
                  <m:r>
                    <m:t>Δ</m:t>
                  </m:r>
                </m:e>
                <m:sub>
                  <m:sSub>
                    <m:e>
                      <m:r>
                        <m:t>m</m:t>
                      </m:r>
                    </m:e>
                    <m:sub>
                      <m:r>
                        <m:t>W</m:t>
                      </m:r>
                    </m:sub>
                  </m:sSub>
                  <m:r>
                    <m:rPr>
                      <m:sty m:val="p"/>
                    </m:rPr>
                    <m:t>|</m:t>
                  </m:r>
                  <m:sSub>
                    <m:e>
                      <m:r>
                        <m:t>K</m:t>
                      </m:r>
                    </m:e>
                    <m:sub>
                      <m:r>
                        <m:t>W</m:t>
                      </m:r>
                    </m:sub>
                  </m:sSub>
                </m:sub>
              </m:sSub>
            </m:e>
          </m:d>
        </m:oMath>
      </m:oMathPara>
    </w:p>
    <w:p>
      <w:pPr>
        <w:pStyle w:val="FirstParagraph"/>
      </w:pPr>
      <w:r>
        <w:t xml:space="preserve">The neutral mixing angle is governed by:</w:t>
      </w:r>
    </w:p>
    <w:p>
      <w:pPr>
        <w:pStyle w:val="BodyText"/>
      </w:pPr>
      <m:oMathPara>
        <m:oMathParaPr>
          <m:jc m:val="center"/>
        </m:oMathParaPr>
        <m:oMath>
          <m:sSub>
            <m:e>
              <m:r>
                <m:t>Θ</m:t>
              </m:r>
            </m:e>
            <m:sub>
              <m:r>
                <m:rPr>
                  <m:sty m:val="p"/>
                </m:rPr>
                <m:t>m</m:t>
              </m:r>
              <m:r>
                <m:rPr>
                  <m:sty m:val="p"/>
                </m:rPr>
                <m:t>i</m:t>
              </m:r>
              <m:r>
                <m:rPr>
                  <m:sty m:val="p"/>
                </m:rPr>
                <m:t>x</m:t>
              </m:r>
            </m:sub>
          </m:sSub>
          <m:r>
            <m:rPr>
              <m:sty m:val="p"/>
            </m:rPr>
            <m:t>=</m:t>
          </m:r>
          <m:r>
            <m:rPr>
              <m:sty m:val="p"/>
            </m:rPr>
            <m:t>arctan</m:t>
          </m:r>
          <m:d>
            <m:dPr>
              <m:begChr m:val="["/>
              <m:endChr m:val="]"/>
              <m:sepChr m:val=""/>
              <m:grow/>
            </m:dPr>
            <m:e>
              <m:d>
                <m:dPr>
                  <m:begChr m:val="("/>
                  <m:endChr m:val=")"/>
                  <m:sepChr m:val=""/>
                  <m:grow/>
                </m:dPr>
                <m:e>
                  <m:f>
                    <m:fPr>
                      <m:type m:val="bar"/>
                    </m:fPr>
                    <m:num>
                      <m:sSub>
                        <m:e>
                          <m:r>
                            <m:t>g</m:t>
                          </m:r>
                        </m:e>
                        <m:sub>
                          <m:r>
                            <m:t>1</m:t>
                          </m:r>
                          <m:r>
                            <m:rPr>
                              <m:sty m:val="p"/>
                            </m:rPr>
                            <m:t>,</m:t>
                          </m:r>
                          <m:r>
                            <m:t>0</m:t>
                          </m:r>
                        </m:sub>
                      </m:sSub>
                    </m:num>
                    <m:den>
                      <m:sSub>
                        <m:e>
                          <m:r>
                            <m:t>g</m:t>
                          </m:r>
                        </m:e>
                        <m:sub>
                          <m:r>
                            <m:t>2</m:t>
                          </m:r>
                          <m:r>
                            <m:rPr>
                              <m:sty m:val="p"/>
                            </m:rPr>
                            <m:t>,</m:t>
                          </m:r>
                          <m:r>
                            <m:t>0</m:t>
                          </m:r>
                        </m:sub>
                      </m:sSub>
                    </m:den>
                  </m:f>
                </m:e>
              </m:d>
              <m:r>
                <m:rPr>
                  <m:sty m:val="p"/>
                </m:rPr>
                <m:t>exp</m:t>
              </m:r>
              <m:d>
                <m:dPr>
                  <m:begChr m:val="("/>
                  <m:endChr m:val=")"/>
                  <m:sepChr m:val=""/>
                  <m:grow/>
                </m:dPr>
                <m:e>
                  <m:sSub>
                    <m:e>
                      <m:r>
                        <m:t>Δ</m:t>
                      </m:r>
                    </m:e>
                    <m:sub>
                      <m:sSub>
                        <m:e>
                          <m:r>
                            <m:t>g</m:t>
                          </m:r>
                        </m:e>
                        <m:sub>
                          <m:r>
                            <m:t>1</m:t>
                          </m:r>
                        </m:sub>
                      </m:sSub>
                      <m:r>
                        <m:rPr>
                          <m:sty m:val="p"/>
                        </m:rPr>
                        <m:t>|</m:t>
                      </m:r>
                      <m:sSub>
                        <m:e>
                          <m:r>
                            <m:t>K</m:t>
                          </m:r>
                        </m:e>
                        <m:sub>
                          <m:r>
                            <m:t>Z</m:t>
                          </m:r>
                        </m:sub>
                      </m:sSub>
                    </m:sub>
                  </m:sSub>
                  <m:r>
                    <m:rPr>
                      <m:sty m:val="p"/>
                    </m:rPr>
                    <m:t>−</m:t>
                  </m:r>
                  <m:sSub>
                    <m:e>
                      <m:r>
                        <m:t>Δ</m:t>
                      </m:r>
                    </m:e>
                    <m:sub>
                      <m:sSub>
                        <m:e>
                          <m:r>
                            <m:t>g</m:t>
                          </m:r>
                        </m:e>
                        <m:sub>
                          <m:r>
                            <m:t>2</m:t>
                          </m:r>
                        </m:sub>
                      </m:sSub>
                      <m:r>
                        <m:rPr>
                          <m:sty m:val="p"/>
                        </m:rPr>
                        <m:t>|</m:t>
                      </m:r>
                      <m:sSub>
                        <m:e>
                          <m:r>
                            <m:t>K</m:t>
                          </m:r>
                        </m:e>
                        <m:sub>
                          <m:r>
                            <m:t>Z</m:t>
                          </m:r>
                        </m:sub>
                      </m:sSub>
                    </m:sub>
                  </m:sSub>
                </m:e>
              </m:d>
            </m:e>
          </m:d>
        </m:oMath>
      </m:oMathPara>
    </w:p>
    <w:bookmarkEnd w:id="25"/>
    <w:bookmarkStart w:id="26" w:name="conclusion"/>
    <w:p>
      <w:pPr>
        <w:pStyle w:val="Heading2"/>
      </w:pPr>
      <w:r>
        <w:t xml:space="preserve">6. Conclusion</w:t>
      </w:r>
    </w:p>
    <w:p>
      <w:pPr>
        <w:pStyle w:val="FirstParagraph"/>
      </w:pPr>
      <w:r>
        <w:t xml:space="preserve">Recursive General Relativity is a contained class-conditioned response theory in which Einstein gravity is recovered as the fixed-class smooth limit, while gravitational seams are interpreted either as steep in-class response, support reorganization, or genuine class transition. The</w:t>
      </w:r>
      <w:r>
        <w:t xml:space="preserve"> </w:t>
      </w:r>
      <w:r>
        <w:rPr>
          <w:rStyle w:val="VerbatimChar"/>
        </w:rPr>
        <w:t xml:space="preserve">.docx</w:t>
      </w:r>
      <w:r>
        <w:t xml:space="preserve"> </w:t>
      </w:r>
      <w:r>
        <w:t xml:space="preserve">companion preserves the main formal spine of the manuscript while keeping the deeper exploratory program outside the submission burden.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2026-04-18T15:42:54Z</dcterms:created>
  <dcterms:modified xsi:type="dcterms:W3CDTF">2026-04-18T15:42:54Z</dcterms:modified>
</cp:coreProperties>
</file>

<file path=docProps/custom.xml><?xml version="1.0" encoding="utf-8"?>
<Properties xmlns="http://schemas.openxmlformats.org/officeDocument/2006/custom-properties" xmlns:vt="http://schemas.openxmlformats.org/officeDocument/2006/docPropsVTypes"/>
</file>