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textAlignment w:val="baseline"/>
        <w:rPr>
          <w:rFonts w:hint="default" w:ascii="Helvetica" w:hAnsi="Helvetica" w:eastAsia="Helvetica" w:cs="Helvetica"/>
          <w:b/>
          <w:i w:val="0"/>
          <w:caps w:val="0"/>
          <w:color w:val="0D1C28"/>
          <w:spacing w:val="0"/>
          <w:kern w:val="0"/>
          <w:sz w:val="36"/>
          <w:szCs w:val="36"/>
          <w:shd w:val="clear" w:fill="FFFFFF"/>
          <w:vertAlign w:val="baseline"/>
          <w:lang w:val="en-US" w:eastAsia="zh-CN" w:bidi="ar"/>
        </w:rPr>
      </w:pPr>
      <w:r>
        <w:rPr>
          <w:rFonts w:hint="default" w:ascii="Helvetica" w:hAnsi="Helvetica" w:eastAsia="Helvetica" w:cs="Helvetica"/>
          <w:b/>
          <w:i w:val="0"/>
          <w:caps w:val="0"/>
          <w:color w:val="0D1C28"/>
          <w:spacing w:val="0"/>
          <w:kern w:val="0"/>
          <w:sz w:val="36"/>
          <w:szCs w:val="36"/>
          <w:shd w:val="clear" w:fill="FFFFFF"/>
          <w:vertAlign w:val="baseline"/>
          <w:lang w:val="en-US" w:eastAsia="zh-CN" w:bidi="ar"/>
        </w:rPr>
        <w:t>再生育审批</w:t>
      </w: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bdr w:val="none" w:color="auto" w:sz="0" w:space="0"/>
          <w:shd w:val="clear" w:fill="FFFFFF"/>
          <w:vertAlign w:val="baseline"/>
        </w:rPr>
        <w:t>受理条件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pPr>
      <w:r>
        <w:rPr>
          <w:rFonts w:hint="default" w:ascii="Helvetica" w:hAnsi="Helvetica" w:eastAsia="Helvetica" w:cs="Helvetica"/>
          <w:i w:val="0"/>
          <w:caps w:val="0"/>
          <w:color w:val="000000"/>
          <w:spacing w:val="0"/>
          <w:sz w:val="24"/>
          <w:szCs w:val="24"/>
          <w:bdr w:val="none" w:color="auto" w:sz="0" w:space="0"/>
          <w:shd w:val="clear" w:fill="FFFFFF"/>
          <w:vertAlign w:val="baseline"/>
        </w:rPr>
        <w:t>有下列情形之一的，由夫妻双方共同申请，经乡镇人民政府、街道办事处或者县级以上直属农林场审批，可再生育：　　（一）已生育两个子女的夫妻，经地级以上市病残儿医学鉴定组织鉴定，其中一个或者两个子女均为残疾儿，不能成长为正常劳动力，且医学上认为可以再生育的，可再生育一胎子女；　　（二）再婚夫妻，再婚前一方未生育，另一方生育一个子女，再婚后生育一个子女的，可再生育一胎子女；　　（三）再婚夫妻，再婚前一方未生育，另一方生育两个或者以上子女的，可再生育一胎子女；　　（四）再婚夫妻，再婚前一方生育一个子女，另一方生育一个或者两个子女的，可再生育一胎子女；　　（五）再婚夫妻经批准再生育的子女，经地级以上市病残儿医学鉴定组织鉴定为残疾儿，不能成长为正常劳动力，且医学上认为可以再生育的，可再生育一胎子女；</w:t>
      </w:r>
      <w:bookmarkStart w:id="0" w:name="_GoBack"/>
      <w:bookmarkEnd w:id="0"/>
      <w:r>
        <w:rPr>
          <w:rFonts w:hint="default" w:ascii="Helvetica" w:hAnsi="Helvetica" w:eastAsia="Helvetica" w:cs="Helvetica"/>
          <w:i w:val="0"/>
          <w:caps w:val="0"/>
          <w:color w:val="000000"/>
          <w:spacing w:val="0"/>
          <w:sz w:val="24"/>
          <w:szCs w:val="24"/>
          <w:bdr w:val="none" w:color="auto" w:sz="0" w:space="0"/>
          <w:shd w:val="clear" w:fill="FFFFFF"/>
          <w:vertAlign w:val="baseline"/>
        </w:rPr>
        <w:t>　　（六）因子女死亡无子女的，可再生育两个子女；　　（七）因子女死亡只有一个子女的，可再生育一胎子女。　　除前款规定的条件外，因特殊情况可以再生育的条件，由省人民政府另行规定，报经省人民代表大会常务委员会批准后施行。</w:t>
      </w:r>
      <w:r>
        <w:rPr>
          <w:rFonts w:hint="default"/>
        </w:rPr>
        <w:fldChar w:fldCharType="begin"/>
      </w:r>
      <w:r>
        <w:rPr>
          <w:rFonts w:hint="default"/>
        </w:rPr>
        <w:instrText xml:space="preserve"> HYPERLINK "http://www.gdzwfw.gov.cn/portal/guide/javascript:;" </w:instrText>
      </w:r>
      <w:r>
        <w:rPr>
          <w:rFonts w:hint="default"/>
        </w:rPr>
        <w:fldChar w:fldCharType="separate"/>
      </w:r>
      <w:r>
        <w:rPr>
          <w:rFonts w:hint="default"/>
        </w:rPr>
        <w:t> </w:t>
      </w:r>
      <w:r>
        <w:rPr>
          <w:rFonts w:hint="default"/>
        </w:rPr>
        <w:fldChar w:fldCharType="end"/>
      </w: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bdr w:val="none" w:color="auto" w:sz="0" w:space="0"/>
          <w:shd w:val="clear" w:fill="FFFFFF"/>
          <w:vertAlign w:val="baseline"/>
        </w:rPr>
        <w:t>办理流程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rPr>
          <w:rFonts w:hint="default" w:ascii="Helvetica" w:hAnsi="Helvetica" w:eastAsia="Helvetica" w:cs="Helvetica"/>
        </w:rPr>
      </w:pPr>
      <w:r>
        <w:rPr>
          <w:rFonts w:hint="default" w:ascii="Helvetica" w:hAnsi="Helvetica" w:eastAsia="Helvetica" w:cs="Helvetica"/>
          <w:i w:val="0"/>
          <w:caps w:val="0"/>
          <w:color w:val="000000"/>
          <w:spacing w:val="0"/>
          <w:bdr w:val="none" w:color="auto" w:sz="0" w:space="0"/>
          <w:shd w:val="clear" w:fill="FFFFFF"/>
          <w:vertAlign w:val="baseline"/>
        </w:rPr>
        <w:t>网上办理流程</w:t>
      </w:r>
    </w:p>
    <w:p>
      <w:r>
        <w:rPr>
          <w:rFonts w:hint="default" w:ascii="Helvetica" w:hAnsi="Helvetica" w:eastAsia="Helvetica" w:cs="Helvetica"/>
          <w:i w:val="0"/>
          <w:caps w:val="0"/>
          <w:color w:val="000000"/>
          <w:spacing w:val="0"/>
          <w:sz w:val="24"/>
          <w:szCs w:val="24"/>
          <w:bdr w:val="none" w:color="auto" w:sz="0" w:space="0"/>
          <w:shd w:val="clear" w:fill="FFFFFF"/>
          <w:vertAlign w:val="baseline"/>
        </w:rPr>
        <w:t>1.申请。</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申请人登录广东省政务服务网居民生育服务专窗（网址：http://syfw.gdwst.gov.cn/myHome/view），点击“马上登录”注册账号并登录系统；选择要办理的事项并点击“网上申办”填写申请表单，拍摄并上传办事材料照片，确认信息无误后提交申请。</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2.受理</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接件受理人员核验申请材料,2个工作日内作出受理决定或不予受理决定。申请人符合申请资格，并材料齐全、格式规范、符合法定形式的，予以受理；申请人不符合申请资格或材料不齐全、不符合法定形式的，接件受理人员不予受理，出具《不予受理通知书》。</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3.审查。受理后，审查人员对材料进行审查，在5个工作日内作出审查决定。符合再生育子女审批条件的，出具《广东省批准再生育子女决定书》；不予通过的，出具《广东省不予批准再生育子女决定书》。审查过程，发现材料需补正的2个工作日内向申请人提出补正要求，出具《申请材料补正告知书》，申请人按要求补正后重新受理审查。</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4.领取结果 。审批结果为通过，办事人携带办事材料原件前往女方户籍地或男方户籍街道卫生计生办的任意一个办事窗口自取。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rPr>
          <w:rFonts w:hint="default" w:ascii="Helvetica" w:hAnsi="Helvetica" w:eastAsia="Helvetica" w:cs="Helvetica"/>
        </w:rPr>
      </w:pPr>
      <w:r>
        <w:rPr>
          <w:rFonts w:hint="default" w:ascii="Helvetica" w:hAnsi="Helvetica" w:eastAsia="Helvetica" w:cs="Helvetica"/>
          <w:i w:val="0"/>
          <w:caps w:val="0"/>
          <w:color w:val="000000"/>
          <w:spacing w:val="0"/>
          <w:bdr w:val="none" w:color="auto" w:sz="0" w:space="0"/>
          <w:shd w:val="clear" w:fill="FFFFFF"/>
          <w:vertAlign w:val="baseline"/>
        </w:rPr>
        <w:t>窗口办理流程</w:t>
      </w:r>
    </w:p>
    <w:p>
      <w:r>
        <w:rPr>
          <w:rFonts w:hint="default" w:ascii="Helvetica" w:hAnsi="Helvetica" w:eastAsia="Helvetica" w:cs="Helvetica"/>
          <w:i w:val="0"/>
          <w:caps w:val="0"/>
          <w:color w:val="000000"/>
          <w:spacing w:val="0"/>
          <w:sz w:val="24"/>
          <w:szCs w:val="24"/>
          <w:bdr w:val="none" w:color="auto" w:sz="0" w:space="0"/>
          <w:shd w:val="clear" w:fill="FFFFFF"/>
          <w:vertAlign w:val="baseline"/>
        </w:rPr>
        <w:t>1.申请。</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申请人向街道办事处行政服务窗口或社区工作站提出申请，提交申请材料，填写《广东省再生育子女申请表》。</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2.受理</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接件受理人员核验申请材料,2个工作日内作出受理决定或不予受理决定。申请人符合申请资格，并材料齐全、格式规范、符合法定形式的，予以受理；申请人不符合申请资格或材料不齐全、不符合法定形式的，接件受理人员不予受理，出具《不予受理通知书》。申请人材料不符合要求但可以当场更正的，退回当场更正后予以受理。</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3.审查。受理后，审查人员对材料进行审查，在5个工作日内作出审查决定。符合再生育子女审批条件的，出具《广东省批准再生育子女决定书》；不予通过的，出具《广东省不予批准再生育子女决定书》。审查过程，发现材料需补正的2个工作日内向申请人提出补正要求，出具《申请材料补正告知书》，申请人按要求补正后重新受理审查。</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4. 领取结果。申请人可以通过邮寄（邮寄费用自付）、自行领取、委托他人领取等方式领取结果。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textAlignment w:val="baseline"/>
        <w:rPr>
          <w:rFonts w:hint="default" w:ascii="Helvetica" w:hAnsi="Helvetica" w:eastAsia="Helvetica" w:cs="Helvetica"/>
          <w:i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bdr w:val="none" w:color="auto" w:sz="0" w:space="0"/>
          <w:shd w:val="clear" w:fill="FFFFFF"/>
          <w:vertAlign w:val="baseline"/>
        </w:rPr>
        <w:t>申请材料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Helvetica" w:hAnsi="Helvetica" w:eastAsia="Helvetica" w:cs="Helvetica"/>
        </w:rPr>
      </w:pPr>
      <w:r>
        <w:rPr>
          <w:rFonts w:hint="default" w:ascii="Helvetica" w:hAnsi="Helvetica" w:eastAsia="Helvetica" w:cs="Helvetica"/>
          <w:i w:val="0"/>
          <w:caps w:val="0"/>
          <w:color w:val="000000"/>
          <w:spacing w:val="0"/>
          <w:bdr w:val="none" w:color="auto" w:sz="0" w:space="0"/>
          <w:shd w:val="clear" w:fill="FFFFFF"/>
          <w:vertAlign w:val="baseline"/>
        </w:rPr>
        <w:t>材料清单</w:t>
      </w:r>
    </w:p>
    <w:tbl>
      <w:tblPr>
        <w:tblW w:w="7958" w:type="dxa"/>
        <w:jc w:val="center"/>
        <w:tblInd w:w="17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135"/>
        <w:gridCol w:w="3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jc w:val="center"/>
        </w:trPr>
        <w:tc>
          <w:tcPr>
            <w:tcW w:w="4135" w:type="dxa"/>
            <w:tcBorders>
              <w:top w:val="single" w:color="E2E2E2" w:sz="6" w:space="0"/>
              <w:left w:val="nil"/>
              <w:bottom w:val="single" w:color="E2E2E2" w:sz="6" w:space="0"/>
              <w:right w:val="nil"/>
            </w:tcBorders>
            <w:shd w:val="clear" w:color="auto" w:fill="F2F2F2"/>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宋体" w:hAnsi="宋体" w:eastAsia="宋体" w:cs="宋体"/>
                <w:kern w:val="0"/>
                <w:sz w:val="24"/>
                <w:szCs w:val="24"/>
                <w:bdr w:val="none" w:color="auto" w:sz="0" w:space="0"/>
                <w:vertAlign w:val="baseline"/>
                <w:lang w:val="en-US" w:eastAsia="zh-CN" w:bidi="ar"/>
              </w:rPr>
              <w:t>材料名称</w:t>
            </w:r>
          </w:p>
        </w:tc>
        <w:tc>
          <w:tcPr>
            <w:tcW w:w="3823" w:type="dxa"/>
            <w:tcBorders>
              <w:top w:val="single" w:color="E2E2E2" w:sz="6" w:space="0"/>
              <w:left w:val="nil"/>
              <w:bottom w:val="single" w:color="E2E2E2" w:sz="6" w:space="0"/>
              <w:right w:val="nil"/>
            </w:tcBorders>
            <w:shd w:val="clear" w:color="auto" w:fill="F2F2F2"/>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宋体" w:hAnsi="宋体" w:eastAsia="宋体" w:cs="宋体"/>
                <w:kern w:val="0"/>
                <w:sz w:val="24"/>
                <w:szCs w:val="24"/>
                <w:bdr w:val="none" w:color="auto" w:sz="0" w:space="0"/>
                <w:vertAlign w:val="baseline"/>
                <w:lang w:val="en-US" w:eastAsia="zh-CN" w:bidi="ar"/>
              </w:rPr>
              <w:t>材料要求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4135"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申请人居民身份证</w:t>
            </w:r>
          </w:p>
        </w:tc>
        <w:tc>
          <w:tcPr>
            <w:tcW w:w="3823"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核验原件，收复印件（身份证正反面复印在同一纸上）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4135"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户口本</w:t>
            </w:r>
          </w:p>
        </w:tc>
        <w:tc>
          <w:tcPr>
            <w:tcW w:w="3823"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包括户口本首页及本人、配偶及子女户口个人页。核验原件收复印件。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4135"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结婚证</w:t>
            </w:r>
          </w:p>
        </w:tc>
        <w:tc>
          <w:tcPr>
            <w:tcW w:w="3823"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核验原件，收复印件（基本信息页、照片页、发证机关签字盖章页）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4135"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病残儿鉴定结论</w:t>
            </w:r>
          </w:p>
        </w:tc>
        <w:tc>
          <w:tcPr>
            <w:tcW w:w="3823"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w:t>
            </w:r>
            <w:r>
              <w:rPr>
                <w:rFonts w:ascii="Helvetica" w:hAnsi="Helvetica" w:eastAsia="Helvetica" w:cs="Helvetica"/>
                <w:i w:val="0"/>
                <w:caps w:val="0"/>
                <w:color w:val="000000"/>
                <w:spacing w:val="0"/>
                <w:sz w:val="21"/>
                <w:szCs w:val="21"/>
                <w:shd w:val="clear" w:fill="FFFFFF"/>
              </w:rPr>
              <w:t>属病残儿</w:t>
            </w:r>
            <w:r>
              <w:rPr>
                <w:rFonts w:hint="eastAsia" w:ascii="Helvetica" w:hAnsi="Helvetica" w:eastAsia="Helvetica" w:cs="Helvetica"/>
                <w:i w:val="0"/>
                <w:caps w:val="0"/>
                <w:color w:val="000000"/>
                <w:spacing w:val="0"/>
                <w:sz w:val="21"/>
                <w:szCs w:val="21"/>
                <w:shd w:val="clear" w:fill="FFFFFF"/>
              </w:rPr>
              <w:t>的需提供此项材料）</w:t>
            </w: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4135"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离婚证和离婚协议书、判决书</w:t>
            </w:r>
          </w:p>
        </w:tc>
        <w:tc>
          <w:tcPr>
            <w:tcW w:w="3823"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核验原件，收复印件（离异或有离婚史的需提供此项材料）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4135"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lang w:val="en-US" w:eastAsia="zh-CN" w:bidi="ar"/>
              </w:rPr>
              <w:t>死亡证明或户口注销证明</w:t>
            </w:r>
          </w:p>
        </w:tc>
        <w:tc>
          <w:tcPr>
            <w:tcW w:w="3823" w:type="dxa"/>
            <w:tcBorders>
              <w:top w:val="single" w:color="E2E2E2" w:sz="6" w:space="0"/>
              <w:left w:val="nil"/>
              <w:bottom w:val="single" w:color="E2E2E2" w:sz="6" w:space="0"/>
              <w:right w:val="nil"/>
            </w:tcBorders>
            <w:shd w:val="clear"/>
            <w:vAlign w:val="top"/>
          </w:tcPr>
          <w:p>
            <w:pPr>
              <w:keepNext w:val="0"/>
              <w:keepLines w:val="0"/>
              <w:widowControl/>
              <w:suppressLineNumbers w:val="0"/>
              <w:spacing w:before="0" w:beforeAutospacing="0" w:after="0" w:afterAutospacing="0"/>
              <w:ind w:left="0" w:right="0"/>
              <w:jc w:val="left"/>
              <w:textAlignment w:val="top"/>
            </w:pPr>
            <w:r>
              <w:rPr>
                <w:rFonts w:hint="eastAsia" w:ascii="Helvetica" w:hAnsi="Helvetica" w:eastAsia="Helvetica" w:cs="Helvetica"/>
                <w:i w:val="0"/>
                <w:caps w:val="0"/>
                <w:color w:val="000000"/>
                <w:spacing w:val="0"/>
                <w:sz w:val="21"/>
                <w:szCs w:val="21"/>
                <w:shd w:val="clear" w:fill="FFFFFF"/>
              </w:rPr>
              <w:t>核验原件，收复印件（丧偶的需提供此项材料）</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F77F1"/>
    <w:rsid w:val="46DF77F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2018-10-19T08:07:00Z</dcterms:created>
  <dc:creator>Jy Ng</dc:creator>
  <cp:lastModifiedBy>Jy Ng</cp:lastModifiedBy>
  <dcterms:modified xsi:type="dcterms:W3CDTF">2018-10-19T08:25:56Z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