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6E1414"/>
          <w:sz w:val="56"/>
          <w:szCs w:val="56"/>
        </w:rPr>
        <w:t xml:space="preserve">CSR Auditing Application</w:t>
      </w:r>
    </w:p>
    <w:p>
      <w:pPr>
        <w:spacing w:before="120"/>
        <w:jc w:val="center"/>
      </w:pPr>
      <w:r>
        <w:rPr>
          <w:color w:val="3A4A5A"/>
          <w:sz w:val="34"/>
          <w:szCs w:val="34"/>
        </w:rPr>
        <w:t xml:space="preserve">AI Integration Specification</w:t>
      </w:r>
    </w:p>
    <w:p>
      <w:pPr>
        <w:spacing w:before="480"/>
        <w:jc w:val="center"/>
      </w:pPr>
      <w:r>
        <w:rPr>
          <w:b/>
          <w:bCs/>
          <w:color w:val="1A1A1A"/>
          <w:sz w:val="26"/>
          <w:szCs w:val="26"/>
        </w:rPr>
        <w:t xml:space="preserve">ADVISORY TRIAGE VIA THE IN-HOUSE LLM PLATFORM</w:t>
      </w:r>
    </w:p>
    <w:p>
      <w:pPr>
        <w:spacing w:before="120"/>
        <w:jc w:val="center"/>
      </w:pPr>
      <w:r>
        <w:rPr>
          <w:i/>
          <w:iCs/>
          <w:color w:val="3A4A5A"/>
          <w:sz w:val="24"/>
          <w:szCs w:val="24"/>
        </w:rPr>
        <w:t xml:space="preserve">Wiring · trigger points · safety contract · platform checklist</w:t>
      </w:r>
    </w:p>
    <w:p>
      <w:pPr>
        <w:spacing w:before="1700"/>
        <w:jc w:val="center"/>
      </w:pPr>
      <w:r>
        <w:rPr>
          <w:sz w:val="20"/>
          <w:szCs w:val="20"/>
        </w:rPr>
        <w:t xml:space="preserve">Classic ABAP · SM59 destination ZCSR_LLM · OpenAI-compatible chat API</w:t>
      </w:r>
    </w:p>
    <w:p>
      <w:pPr>
        <w:spacing w:before="60"/>
        <w:jc w:val="center"/>
      </w:pPr>
      <w:r>
        <w:rPr>
          <w:color w:val="3A4A5A"/>
          <w:sz w:val="20"/>
          <w:szCs w:val="20"/>
        </w:rPr>
        <w:t xml:space="preserve">Version 0.1 (Draft) · 2026-10-27 · companion to Technical Specification v0.3 §7 and the ABAP Development Specification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6E141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1. Purpose &amp; Principle</w:t>
      </w:r>
    </w:p>
    <w:p>
      <w:pPr>
        <w:spacing w:after="120" w:line="276"/>
      </w:pPr>
      <w:r>
        <w:t xml:space="preserve">The application uses the client's in-house LLM platform for one purpose in the MVP: advisory triage of submitted checklists. After an analyst signs and submits, the model reads every response against its procedure requirement and records findings (severity + text, per procedure) that direct the reviewer's attention. The governing principle is absolute and enforced structurally, not by convention:</w:t>
      </w:r>
    </w:p>
    <w:p>
      <w:pPr>
        <w:spacing w:after="120" w:line="276"/>
      </w:pPr>
      <w:r>
        <w:rPr>
          <w:b/>
          <w:bCs/>
          <w:color w:val="6E1414"/>
        </w:rPr>
        <w:t xml:space="preserve">AI is advisory only. </w:t>
      </w:r>
      <w:r>
        <w:t xml:space="preserve">Flags never block submission, nothing is auto-approved, no status transition is ever touched by AI, and any AI failure produces zero flags — never an error the business process can see.</w:t>
      </w:r>
    </w:p>
    <w:p>
      <w:pPr>
        <w:spacing w:after="120" w:line="276"/>
      </w:pPr>
      <w:r>
        <w:t xml:space="preserve">All AI integration lives in one backend class, </w:t>
      </w:r>
      <w:r>
        <w:rPr>
          <w:rFonts w:ascii="Consolas" w:cs="Consolas" w:eastAsia="Consolas" w:hAnsi="Consolas"/>
          <w:sz w:val="20"/>
          <w:szCs w:val="20"/>
        </w:rPr>
        <w:t xml:space="preserve">ZCL_CSR_AI_CLIENT</w:t>
      </w:r>
      <w:r>
        <w:t xml:space="preserve">. The SAPUI5 apps never call the model; they only read stored flags through the OData service (</w:t>
      </w:r>
      <w:r>
        <w:rPr>
          <w:rFonts w:ascii="Consolas" w:cs="Consolas" w:eastAsia="Consolas" w:hAnsi="Consolas"/>
          <w:sz w:val="20"/>
          <w:szCs w:val="20"/>
        </w:rPr>
        <w:t xml:space="preserve">AiFlagSet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ToAiFlags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AiFlagCount</w:t>
      </w:r>
      <w:r>
        <w:t xml:space="preserve">).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2. Decision: Backend Call, Not Frontend</w:t>
      </w:r>
    </w:p>
    <w:p>
      <w:pPr>
        <w:spacing w:after="120" w:line="276"/>
      </w:pPr>
      <w:r>
        <w:t xml:space="preserve">A browser-side call to the LLM API was considered and rejected. The decision drivers, in priority order: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40"/>
      </w:tblGrid>
      <w:tr>
        <w:trPr>
          <w:tblHeader/>
        </w:trPr>
        <w:tc>
          <w:tcPr>
            <w:tcW w:type="dxa" w:w="5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63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Credential custody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frontend call requires the platform API key in the browser, where developer tools make it extractable by any user. The SM59 destination keeps authentication server-side, rotatable by Basis without a transport, never present in a JS bundle.</w:t>
            </w:r>
          </w:p>
        </w:tc>
      </w:tr>
      <w:tr>
        <w:tc>
          <w:tcPr>
            <w:tcW w:type="dxa" w:w="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Flags are audit artifacts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Findings are stored in ZCSR_AIFLAG with model identifier and server timestamp — part of the compliance record shown to reviewers and auditors. Browser-computed flags would be client-supplied data: fabricatable, suppressible, alterable before storage. Server-side generation is what makes a flag trustworthy.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Unattended operation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Two of three trigger paths (post-submit fire-and-forget, batch safety-net job) run with no browser session. Frontend-only AI functions only while a user has the app open.</w:t>
            </w:r>
          </w:p>
        </w:tc>
      </w:tr>
      <w:tr>
        <w:tc>
          <w:tcPr>
            <w:tcW w:type="dxa" w:w="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 topology &amp; CORS</w:t>
            </w:r>
          </w:p>
        </w:tc>
        <w:tc>
          <w:tcPr>
            <w:tcW w:type="dxa" w:w="6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Browser calls require the platform to accept cross-origin requests from every workstation through intervening proxies. The backend needs one server-to-server route and no CORS enablement on the platform.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governance</w:t>
            </w:r>
          </w:p>
        </w:tc>
        <w:tc>
          <w:tcPr>
            <w:tcW w:type="dxa" w:w="6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Prompts carry client-confidential compliance narratives. The backend path is a single, auditable, in-landscape egress point; browser calls would fan that content through every user's workstation session.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Considered trade-off: </w:t>
      </w:r>
      <w:r>
        <w:t xml:space="preserve">a frontend call wins on interactive latency (as-you-type assistance). The MVP has no such requirement, and even a future pre-submit “check my work” should route through a function import so all five guarantees hold (§10).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3. Wiring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3.1 Transport — SM59 destination ZCSR_LLM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Type G (HTTP to external server): platform host, port, and path prefix.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TLS: platform certificate chain imported into STRUST (standard SSL client PSE).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Authentication: if the platform requires an API key / bearer header, it is configured on the destination — never in code, never transported, rotatable without a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Timeout: set on the destination; a timeout is just another silent zero-flag path. Recommended 30–60 s — the user never waits on it (fire-and-forget / batch).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3.2 Call &amp; prompt contract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CL_HTTP_CLIENT=&gt;CREATE_BY_DESTINATION( 'ZCSR_LLM' )</w:t>
      </w:r>
      <w:r>
        <w:t xml:space="preserve"> → POST </w:t>
      </w:r>
      <w:r>
        <w:rPr>
          <w:rFonts w:ascii="Consolas" w:cs="Consolas" w:eastAsia="Consolas" w:hAnsi="Consolas"/>
          <w:sz w:val="20"/>
          <w:szCs w:val="20"/>
        </w:rPr>
        <w:t xml:space="preserve">/v1/chat/completions</w:t>
      </w:r>
      <w:r>
        <w:t xml:space="preserve"> (OpenAI-compatible chat format), </w:t>
      </w:r>
      <w:r>
        <w:rPr>
          <w:b/>
          <w:bCs/>
        </w:rPr>
        <w:t xml:space="preserve">temperature 0</w:t>
      </w:r>
      <w:r>
        <w:t xml:space="preserve"> — deterministic: same submission, same flags.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One request per checklist (not per procedure): the model sees the whole submission and can flag cross-procedure inconsistencies.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System message: compliance review assistant, output JSON only. User message: per response-type item — QUESTION_ID, title, full requirement text, and the analyst's response or “N/A (explicitly marked)”.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Mandated output: a JSON array of {question_id, severity: H|M|L, finding}. Nothing else.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Attachments are NOT sent in the MVP — prompt content is text only (§10 for the extension path).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3.3 Response handling &amp; data model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Parse ×2 with </w:t>
      </w:r>
      <w:r>
        <w:rPr>
          <w:rFonts w:ascii="Consolas" w:cs="Consolas" w:eastAsia="Consolas" w:hAnsi="Consolas"/>
          <w:sz w:val="20"/>
          <w:szCs w:val="20"/>
        </w:rPr>
        <w:t xml:space="preserve">/UI2/CL_JSON</w:t>
      </w:r>
      <w:r>
        <w:t xml:space="preserve">: chat envelope → </w:t>
      </w:r>
      <w:r>
        <w:rPr>
          <w:rFonts w:ascii="Consolas" w:cs="Consolas" w:eastAsia="Consolas" w:hAnsi="Consolas"/>
          <w:sz w:val="20"/>
          <w:szCs w:val="20"/>
        </w:rPr>
        <w:t xml:space="preserve">choices[1].message.content</w:t>
      </w:r>
      <w:r>
        <w:t xml:space="preserve"> → findings array.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Defensive normalization: severity outside H/M/L becomes L; question IDs are the model echoing our own keys back; finding text is stored and rendered strictly as text (model output can say anything but can do nothing).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Persistence: </w:t>
      </w:r>
      <w:r>
        <w:rPr>
          <w:rFonts w:ascii="Consolas" w:cs="Consolas" w:eastAsia="Consolas" w:hAnsi="Consolas"/>
          <w:sz w:val="20"/>
          <w:szCs w:val="20"/>
        </w:rPr>
        <w:t xml:space="preserve">ZCSR_AIFLAG</w:t>
      </w:r>
      <w:r>
        <w:t xml:space="preserve"> — FLAG_GUID, HEADER_GUID, QUESTION_ID, SEVERITY, FLAG_TEXT, </w:t>
      </w:r>
      <w:r>
        <w:rPr>
          <w:rFonts w:ascii="Consolas" w:cs="Consolas" w:eastAsia="Consolas" w:hAnsi="Consolas"/>
          <w:sz w:val="20"/>
          <w:szCs w:val="20"/>
        </w:rPr>
        <w:t xml:space="preserve">MODEL_INFO</w:t>
      </w:r>
      <w:r>
        <w:t xml:space="preserve"> (the model identifier returned by the platform — every flag records which model produced it), CREATED_AT.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4. Trigger Points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40"/>
      </w:tblGrid>
      <w:tr>
        <w:trPr>
          <w:tblHeader/>
        </w:trPr>
        <w:tc>
          <w:tcPr>
            <w:tcW w:type="dxa" w:w="17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4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① Post-submit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DPC, immediately after SubmitChecklist succeeds (status SB)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Fire-and-forget: submission success never waits on or varies with AI. Primary path.</w:t>
            </w:r>
          </w:p>
        </w:tc>
      </w:tr>
      <w:tr>
        <w:tc>
          <w:tcPr>
            <w:tcW w:type="dxa" w:w="17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② Batch safety net</w:t>
            </w:r>
          </w:p>
        </w:tc>
        <w:tc>
          <w:tcPr>
            <w:tcW w:type="dxa" w:w="34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ZCSR_AI_TRIAGE_JOB (SM36; hourly during close week)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Triages SB checklists with no flags yet (NOT EXISTS) — catches silent failures of ① before a reviewer opens the record.</w:t>
            </w:r>
          </w:p>
        </w:tc>
      </w:tr>
      <w:tr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③ On demand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TriggerAiTriage function import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Re-run for one checklist (platform was down, or a fresh pass is wanted). Same class, same path.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6E1414"/>
        </w:rPr>
        <w:t xml:space="preserve">5. Where Users Meet 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Worklist: AI-flag count per row — a glanceable “worth a closer look”.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Review Queue: sorted by flags, worst first — triage before opening a single submission.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Review screen: findings panel — severity chip, finding text citing its procedure — with “Advisory only — never blocks submission” printed on the panel itself.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Analysts never see flags mid-edit: flags exist only after submission. (Deliberate — see §10 for the possible pre-submit assist.)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6. Failure Semantics &amp; Safety Contract</w:t>
      </w:r>
    </w:p>
    <w:p>
      <w:pPr>
        <w:spacing w:after="120" w:line="276"/>
      </w:pPr>
      <w:r>
        <w:t xml:space="preserve">The whole triage runs inside one </w:t>
      </w:r>
      <w:r>
        <w:rPr>
          <w:rFonts w:ascii="Consolas" w:cs="Consolas" w:eastAsia="Consolas" w:hAnsi="Consolas"/>
          <w:sz w:val="20"/>
          <w:szCs w:val="20"/>
        </w:rPr>
        <w:t xml:space="preserve">TRY … CATCH cx_root</w:t>
      </w:r>
      <w:r>
        <w:t xml:space="preserve">. Connection refused, timeout, HTTP 4xx/5xx, malformed envelope, prose instead of JSON — every failure path returns zero flags and never raises. An AI outage is a non-event: submissions proceed, reviews proceed, the batch job retries later.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auto-approval exists anywhere; no status transition is reachable from AI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Prompt-injection posture: analyst responses are untrusted input to the model, but the output channel is advisory text with no authority. A hostile “mark everything compliant” instruction can at worst suppress its own flags — the reviewer still reads the actual submission. Low-consequence by construction.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Observability: silent-by-design toward users, not toward operations — log failed calls to the application log (BAL) with HTTP status, and monitor ②'s “SB with no flags” count as the health signal (§8 checklist).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7. Sequence Diagram</w:t>
      </w:r>
    </w:p>
    <w:p>
      <w:pPr>
        <w:spacing w:after="40" w:before="120"/>
        <w:jc w:val="center"/>
      </w:pPr>
      <w:r>
        <w:drawing>
          <wp:inline distT="0" distB="0" distL="0" distR="0">
            <wp:extent cx="62865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3A4A5A"/>
          <w:sz w:val="18"/>
          <w:szCs w:val="18"/>
        </w:rPr>
        <w:t xml:space="preserve">Figure 1 — AI triage: trigger paths, platform call, persistence, consumption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8. Platform Confirmation Checklist</w:t>
      </w:r>
    </w:p>
    <w:p>
      <w:pPr>
        <w:spacing w:after="120" w:line="276"/>
      </w:pPr>
      <w:r>
        <w:t xml:space="preserve">To be confirmed with the LLM platform team before integration test — each “no” has a known, contained adaptation: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3940"/>
      </w:tblGrid>
      <w:tr>
        <w:trPr>
          <w:tblHeader/>
        </w:trPr>
        <w:tc>
          <w:tcPr>
            <w:tcW w:type="dxa" w:w="5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different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Endpoint path is /v1/chat/completions (OpenAI chat format)?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Adapt the path constant and payload builder in ZCL_CSR_AI_CLIENT-&gt;call_llm — single method.</w:t>
            </w:r>
          </w:p>
        </w:tc>
      </w:tr>
      <w:tr>
        <w:tc>
          <w:tcPr>
            <w:tcW w:type="dxa" w:w="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Auth: none / API key header / bearer token? Header name?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Configure on the SM59 destination; no code change.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Response envelope: choices[n].message.content + model field?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Adapt the envelope types in call_llm.</w:t>
            </w:r>
          </w:p>
        </w:tc>
      </w:tr>
      <w:tr>
        <w:tc>
          <w:tcPr>
            <w:tcW w:type="dxa" w:w="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 selection by name required? Which identifier?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via the TVARVC parameter (§9).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 context / request size? (7 procedures × ~1.6k chars ≈ small)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If tight: truncate requirement texts in build_prompt, keep responses whole.</w:t>
            </w:r>
          </w:p>
        </w:tc>
      </w:tr>
      <w:tr>
        <w:tc>
          <w:tcPr>
            <w:tcW w:type="dxa" w:w="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limits relevant at our volume (tens of calls per quarter-close day)?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job already serializes; add a WAIT between calls if required.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TLS: internal CA chain available for STRUST import?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Basis task; HTTP-only internal endpoint is possible but discouraged.</w:t>
            </w:r>
          </w:p>
        </w:tc>
      </w:tr>
      <w:tr>
        <w:tc>
          <w:tcPr>
            <w:tcW w:type="dxa" w:w="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policy: confirmation that prompt content (compliance narratives) may be sent and is not retained for training?</w:t>
            </w:r>
          </w:p>
        </w:tc>
        <w:tc>
          <w:tcPr>
            <w:tcW w:type="dxa" w:w="39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Written confirmation for the audit file; retention/logging settings per platform.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p95 latency for a ~4k-token request?</w:t>
            </w:r>
          </w:p>
        </w:tc>
        <w:tc>
          <w:tcPr>
            <w:tcW w:type="dxa" w:w="39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Sets the SM59 timeout and whether ① stays in-process or moves to the job only.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6E1414"/>
        </w:rPr>
        <w:t xml:space="preserve">9. Proposed Change: Parameterize Model &amp; Path (TVARVC)</w:t>
      </w:r>
    </w:p>
    <w:p>
      <w:pPr>
        <w:spacing w:after="120" w:line="276"/>
      </w:pPr>
      <w:r>
        <w:t xml:space="preserve">The delivered class sends </w:t>
      </w:r>
      <w:r>
        <w:rPr>
          <w:rFonts w:ascii="Consolas" w:cs="Consolas" w:eastAsia="Consolas" w:hAnsi="Consolas"/>
          <w:sz w:val="20"/>
          <w:szCs w:val="20"/>
        </w:rPr>
        <w:t xml:space="preserve">model: 'default'</w:t>
      </w:r>
      <w:r>
        <w:t xml:space="preserve"> and a hard-coded path. Before integration test, move both to TVARVC so operations can switch models or path without a transport. Proposed delta to </w:t>
      </w:r>
      <w:r>
        <w:rPr>
          <w:rFonts w:ascii="Consolas" w:cs="Consolas" w:eastAsia="Consolas" w:hAnsi="Consolas"/>
          <w:sz w:val="20"/>
          <w:szCs w:val="20"/>
        </w:rPr>
        <w:t xml:space="preserve">ZCL_CSR_AI_CLIENT</w:t>
      </w:r>
      <w:r>
        <w:t xml:space="preserve"> (apply in SE80/ADT; sync the ABAP/ reference copy afterwards):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* Constants become defaults; TVARVC overrides when maintained: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CONSTANTS c_default_model TYPE string VALUE 'default'.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CONSTANTS c_default_path  TYPE string VALUE '/v1/chat/completions'.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METHODS get_config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EXPORTING ev_model TYPE string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ev_path  TYPE string.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METHOD get_config.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 Parameter ZCSR_LLM_MODEL — model identifier for the platform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SELECT SINGLE low FROM tvarvc INTO @ev_model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 name = 'ZCSR_LLM_MODEL' AND type = 'P'.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sy-subrc &lt;&gt; 0 OR ev_model IS INITIAL.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ev_model = c_default_model.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ENDIF.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 Parameter ZCSR_LLM_PATH — endpoint path (rarely changed)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SELECT SINGLE low FROM tvarvc INTO @ev_path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WHERE name = 'ZCSR_LLM_PATH' AND type = 'P'.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IF sy-subrc &lt;&gt; 0 OR ev_path IS INITIAL.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ev_path = c_default_path.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ENDIF.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ENDMETHOD.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* In call_llm: replace the literals —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get_config( IMPORTING ev_model = DATA(lv_model)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ev_path  = DATA(lv_path) ).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cl_http_utility=&gt;set_request_uri( request = lo_client-&gt;request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uri     = lv_path ).</w:t>
      </w:r>
    </w:p>
    <w:p>
      <w:pPr>
        <w:shd w:fill="F4F5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 ls_request-model = lv_model.</w:t>
      </w:r>
    </w:p>
    <w:p>
      <w:pPr>
        <w:spacing w:after="120" w:line="276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New TVARVC parameters: ZCSR_LLM_MODEL (platform model id), ZCSR_LLM_PATH (endpoint path). Both optional — absent entries fall back to the shipped defaults, so the change is risk-free to existing behavior.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10. Explicit Non-Goals &amp; Future Options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Not in the MVP, by decision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attachment content in prompts (no file text extraction / OCR).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AI drafting of analyst responses; no AI-generated review notes.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frontend access to the model, direct or proxied.</w:t>
      </w:r>
    </w:p>
    <w:p>
      <w:pPr>
        <w:pStyle w:val="Heading2"/>
        <w:spacing w:after="120" w:before="260"/>
      </w:pPr>
      <w:r>
        <w:rPr>
          <w:b/>
          <w:bCs/>
          <w:color w:val="3A4A5A"/>
        </w:rPr>
        <w:t xml:space="preserve">Future options — each must preserve the advisory-only contract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27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2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27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Pre-submit check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“Check my work” button → function import → same triage, flags shown to the analyst before signing</w:t>
            </w:r>
          </w:p>
        </w:tc>
        <w:tc>
          <w:tcPr>
            <w:tcW w:type="dxa" w:w="2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Highest value next step; zero new infrastructure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Attachment awareness</w:t>
            </w:r>
          </w:p>
        </w:tc>
        <w:tc>
          <w:tcPr>
            <w:tcW w:type="dxa" w:w="42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Extract text server-side (xlsx/pdf) and include per-procedure evidence summaries in the prompt</w:t>
            </w:r>
          </w:p>
        </w:tc>
        <w:tc>
          <w:tcPr>
            <w:tcW w:type="dxa" w:w="2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Needs §8 item 5 headroom; extraction stays in ABAP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Cross-quarter signals</w:t>
            </w:r>
          </w:p>
        </w:tc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Compare against prior-quarter responses (“narrative unchanged since Q2”)</w:t>
            </w:r>
          </w:p>
        </w:tc>
        <w:tc>
          <w:tcPr>
            <w:tcW w:type="dxa" w:w="27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Prompt-only change; data already in ZCSR_ITEM history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Reviewer summary</w:t>
            </w:r>
          </w:p>
        </w:tc>
        <w:tc>
          <w:tcPr>
            <w:tcW w:type="dxa" w:w="42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One-paragraph model summary of the whole submission atop the findings panel</w:t>
            </w:r>
          </w:p>
        </w:tc>
        <w:tc>
          <w:tcPr>
            <w:tcW w:type="dxa" w:w="27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call, one extra output field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A4A5A"/>
        <w:sz w:val="16"/>
        <w:szCs w:val="16"/>
      </w:rPr>
      <w:t xml:space="preserve">Confidential — Draft v0.1     Page </w:t>
    </w:r>
    <w:r>
      <w:rPr>
        <w:color w:val="3A4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3A4A5A"/>
        <w:sz w:val="16"/>
        <w:szCs w:val="16"/>
      </w:rPr>
      <w:t xml:space="preserve"> of </w:t>
    </w:r>
    <w:r>
      <w:rPr>
        <w:color w:val="3A4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A4A5A"/>
        <w:sz w:val="16"/>
        <w:szCs w:val="16"/>
      </w:rPr>
      <w:t xml:space="preserve">CSR Auditing Application — AI Integration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6E141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A4A5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9320184cb2c4c69614a231979c56d3d92b79f5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Auditing Application — AI Integration Specification</dc:title>
  <dc:creator>CSR Project</dc:creator>
  <cp:lastModifiedBy>Un-named</cp:lastModifiedBy>
  <cp:revision>1</cp:revision>
  <dcterms:created xsi:type="dcterms:W3CDTF">2026-10-27T15:21:30.469Z</dcterms:created>
  <dcterms:modified xsi:type="dcterms:W3CDTF">2026-10-27T15:21:30.469Z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