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6E1414"/>
          <w:sz w:val="56"/>
          <w:szCs w:val="56"/>
        </w:rPr>
        <w:t xml:space="preserve">CSR Auditing Application</w:t>
      </w:r>
    </w:p>
    <w:p>
      <w:pPr>
        <w:spacing w:before="120"/>
        <w:jc w:val="center"/>
      </w:pPr>
      <w:r>
        <w:rPr>
          <w:color w:val="3A4A5A"/>
          <w:sz w:val="32"/>
          <w:szCs w:val="32"/>
        </w:rPr>
        <w:t xml:space="preserve">Quarterly Checklist &amp; Audit Platform</w:t>
      </w:r>
    </w:p>
    <w:p>
      <w:pPr>
        <w:spacing w:before="480"/>
        <w:jc w:val="center"/>
      </w:pPr>
      <w:r>
        <w:rPr>
          <w:b/>
          <w:bCs/>
          <w:color w:val="1A1A1A"/>
          <w:sz w:val="28"/>
          <w:szCs w:val="28"/>
        </w:rPr>
        <w:t xml:space="preserve">UI5 APPLICATION DESIGN PROPOSAL</w:t>
      </w:r>
    </w:p>
    <w:p>
      <w:pPr>
        <w:spacing w:before="120"/>
        <w:jc w:val="center"/>
      </w:pPr>
      <w:r>
        <w:rPr>
          <w:i/>
          <w:iCs/>
          <w:color w:val="3A4A5A"/>
          <w:sz w:val="24"/>
          <w:szCs w:val="24"/>
        </w:rPr>
        <w:t xml:space="preserve">App Skeleton · Navigation Model · View Design</w:t>
      </w:r>
    </w:p>
    <w:p>
      <w:pPr>
        <w:spacing w:before="1700"/>
        <w:jc w:val="center"/>
      </w:pPr>
      <w:r>
        <w:rPr>
          <w:sz w:val="20"/>
          <w:szCs w:val="20"/>
        </w:rPr>
        <w:t xml:space="preserve">Freestyle SAPUI5 · FES 2022 · OData V2 (ZCSR_CHECKLIST_SRV)</w:t>
      </w:r>
    </w:p>
    <w:p>
      <w:pPr>
        <w:spacing w:before="60"/>
        <w:jc w:val="center"/>
      </w:pPr>
      <w:r>
        <w:rPr>
          <w:color w:val="3A4A5A"/>
          <w:sz w:val="20"/>
          <w:szCs w:val="20"/>
        </w:rPr>
        <w:t>Version 0.2 (Draft) · 2026-08-04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6E141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1. Application Structure</w:t>
      </w:r>
    </w:p>
    <w:p>
      <w:pPr>
        <w:spacing w:after="120" w:line="276"/>
      </w:pPr>
      <w:r>
        <w:t xml:space="preserve">App ID </w:t>
      </w:r>
      <w:r>
        <w:rPr>
          <w:rFonts w:ascii="Consolas" w:cs="Consolas" w:eastAsia="Consolas" w:hAnsi="Consolas"/>
          <w:sz w:val="20"/>
          <w:szCs w:val="20"/>
        </w:rPr>
        <w:t xml:space="preserve">zcsr.checklist</w:t>
      </w:r>
      <w:r>
        <w:t xml:space="preserve">, freestyle SAPUI5 (1.108 baseline per FES 2022), manifest-first, deployed to the FES BSP repository and exposed as a launchpad tile. Minimum library set: </w:t>
      </w:r>
      <w:r>
        <w:rPr>
          <w:rFonts w:ascii="Consolas" w:cs="Consolas" w:eastAsia="Consolas" w:hAnsi="Consolas"/>
          <w:sz w:val="20"/>
          <w:szCs w:val="20"/>
        </w:rPr>
        <w:t xml:space="preserve">sap.m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sap.ui.core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sap.ui.layout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sap.f</w:t>
      </w:r>
      <w:r>
        <w:t xml:space="preserve">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1.1 Project Layout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40"/>
      </w:tblGrid>
      <w:tr>
        <w:trPr>
          <w:tblHeader/>
        </w:trPr>
        <w:tc>
          <w:tcPr>
            <w:tcW w:type="dxa" w:w="3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webapp/manifest.json</w:t>
            </w:r>
          </w:p>
        </w:tc>
        <w:tc>
          <w:tcPr>
            <w:tcW w:type="dxa" w:w="5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descriptor: models, routing, dependencies</w:t>
            </w:r>
          </w:p>
        </w:tc>
      </w:tr>
      <w:tr>
        <w:tc>
          <w:tcPr>
            <w:tcW w:type="dxa" w:w="3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webapp/Component.js</w:t>
            </w:r>
          </w:p>
        </w:tc>
        <w:tc>
          <w:tcPr>
            <w:tcW w:type="dxa" w:w="5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UIComponent init: role bootstrap, device model, error registration</w:t>
            </w:r>
          </w:p>
        </w:tc>
      </w:tr>
      <w:tr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webapp/view/App.view.xml</w:t>
            </w:r>
          </w:p>
        </w:tc>
        <w:tc>
          <w:tcPr>
            <w:tcW w:type="dxa" w:w="5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Root sap.m.App nav container</w:t>
            </w:r>
          </w:p>
        </w:tc>
      </w:tr>
      <w:tr>
        <w:tc>
          <w:tcPr>
            <w:tcW w:type="dxa" w:w="3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webapp/view/Worklist.view.xml + controller</w:t>
            </w:r>
          </w:p>
        </w:tc>
        <w:tc>
          <w:tcPr>
            <w:tcW w:type="dxa" w:w="5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Analyst home</w:t>
            </w:r>
          </w:p>
        </w:tc>
      </w:tr>
      <w:tr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webapp/view/ChecklistDetail.view.xml + controller</w:t>
            </w:r>
          </w:p>
        </w:tc>
        <w:tc>
          <w:tcPr>
            <w:tcW w:type="dxa" w:w="5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analyst/reviewer detail (mode-driven)</w:t>
            </w:r>
          </w:p>
        </w:tc>
      </w:tr>
      <w:tr>
        <w:tc>
          <w:tcPr>
            <w:tcW w:type="dxa" w:w="3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webapp/view/ReviewQueue.view.xml + controller</w:t>
            </w:r>
          </w:p>
        </w:tc>
        <w:tc>
          <w:tcPr>
            <w:tcW w:type="dxa" w:w="5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Reviewer home</w:t>
            </w:r>
          </w:p>
        </w:tc>
      </w:tr>
      <w:tr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webapp/view/AdminBoard.view.xml + controller</w:t>
            </w:r>
          </w:p>
        </w:tc>
        <w:tc>
          <w:tcPr>
            <w:tcW w:type="dxa" w:w="5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status matrix</w:t>
            </w:r>
          </w:p>
        </w:tc>
      </w:tr>
      <w:tr>
        <w:tc>
          <w:tcPr>
            <w:tcW w:type="dxa" w:w="3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webapp/fragment/*.fragment.xml</w:t>
            </w:r>
          </w:p>
        </w:tc>
        <w:tc>
          <w:tcPr>
            <w:tcW w:type="dxa" w:w="5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UploadDialog, ReturnNotesDialog, ReassignDialog, ExportDialog, MessagePopover</w:t>
            </w:r>
          </w:p>
        </w:tc>
      </w:tr>
      <w:tr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webapp/model/formatter.js</w:t>
            </w:r>
          </w:p>
        </w:tc>
        <w:tc>
          <w:tcPr>
            <w:tcW w:type="dxa" w:w="5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Status/severity/color-semantics formatters</w:t>
            </w:r>
          </w:p>
        </w:tc>
      </w:tr>
      <w:tr>
        <w:tc>
          <w:tcPr>
            <w:tcW w:type="dxa" w:w="3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webapp/model/roles.js</w:t>
            </w:r>
          </w:p>
        </w:tc>
        <w:tc>
          <w:tcPr>
            <w:tcW w:type="dxa" w:w="5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 model helper (AN/RV/AD/AU) from ZCSR_ASSIGN</w:t>
            </w:r>
          </w:p>
        </w:tc>
      </w:tr>
      <w:tr>
        <w:tc>
          <w:tcPr>
            <w:tcW w:type="dxa" w:w="3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webapp/css/style.css</w:t>
            </w:r>
          </w:p>
        </w:tc>
        <w:tc>
          <w:tcPr>
            <w:tcW w:type="dxa" w:w="5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Color-semantic classes (see §5)</w:t>
            </w:r>
          </w:p>
        </w:tc>
      </w:tr>
      <w:tr>
        <w:tc>
          <w:tcPr>
            <w:tcW w:type="dxa" w:w="3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webapp/i18n/i18n.properties</w:t>
            </w:r>
          </w:p>
        </w:tc>
        <w:tc>
          <w:tcPr>
            <w:tcW w:type="dxa" w:w="5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texts externalized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3A4A5A"/>
        </w:rPr>
        <w:t xml:space="preserve">1.2 Models (manifest)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40"/>
      </w:tblGrid>
      <w:tr>
        <w:trPr>
          <w:tblHeader/>
        </w:trPr>
        <w:tc>
          <w:tcPr>
            <w:tcW w:type="dxa" w:w="14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(default)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sap.ui.model.odata.v2.ODataModel</w:t>
            </w:r>
          </w:p>
        </w:tc>
        <w:tc>
          <w:tcPr>
            <w:tcW w:type="dxa" w:w="46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ZCSR_CHECKLIST_SRV; useBatch=true; defaultBindingMode=TwoWay; refreshAfterChange=false (manual refresh after actions)</w:t>
            </w:r>
          </w:p>
        </w:tc>
      </w:tr>
      <w:tr>
        <w:tc>
          <w:tcPr>
            <w:tcW w:type="dxa" w:w="14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device</w:t>
            </w:r>
          </w:p>
        </w:tc>
        <w:tc>
          <w:tcPr>
            <w:tcW w:type="dxa" w:w="3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JSONModel</w:t>
            </w:r>
          </w:p>
        </w:tc>
        <w:tc>
          <w:tcPr>
            <w:tcW w:type="dxa" w:w="46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sap.ui.Device, oneWay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JSONModel</w:t>
            </w:r>
          </w:p>
        </w:tc>
        <w:tc>
          <w:tcPr>
            <w:tcW w:type="dxa" w:w="46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state: busy, mode (edit/review), role flags, dirty/autosave timestamp</w:t>
            </w:r>
          </w:p>
        </w:tc>
      </w:tr>
      <w:tr>
        <w:tc>
          <w:tcPr>
            <w:tcW w:type="dxa" w:w="14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i18n</w:t>
            </w:r>
          </w:p>
        </w:tc>
        <w:tc>
          <w:tcPr>
            <w:tcW w:type="dxa" w:w="3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ResourceModel</w:t>
            </w:r>
          </w:p>
        </w:tc>
        <w:tc>
          <w:tcPr>
            <w:tcW w:type="dxa" w:w="46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i18n.properties</w:t>
            </w:r>
          </w:p>
        </w:tc>
      </w:tr>
    </w:tbl>
    <w:p>
      <w:pPr>
        <w:spacing w:after="120" w:line="276"/>
      </w:pPr>
      <w:r>
        <w:t xml:space="preserve">Role bootstrap: </w:t>
      </w:r>
      <w:r>
        <w:rPr>
          <w:rFonts w:ascii="Consolas" w:cs="Consolas" w:eastAsia="Consolas" w:hAnsi="Consolas"/>
          <w:sz w:val="20"/>
          <w:szCs w:val="20"/>
        </w:rPr>
        <w:t xml:space="preserve">Component.init</w:t>
      </w:r>
      <w:r>
        <w:t xml:space="preserve"> reads a lightweight entity (current user's ZCSR_ASSIGN roles, exposed via the value-help pattern or an </w:t>
      </w:r>
      <w:r>
        <w:rPr>
          <w:rFonts w:ascii="Consolas" w:cs="Consolas" w:eastAsia="Consolas" w:hAnsi="Consolas"/>
          <w:sz w:val="20"/>
          <w:szCs w:val="20"/>
        </w:rPr>
        <w:t xml:space="preserve">app/roles</w:t>
      </w:r>
      <w:r>
        <w:t xml:space="preserve"> function import) and sets boolean flags </w:t>
      </w:r>
      <w:r>
        <w:rPr>
          <w:rFonts w:ascii="Consolas" w:cs="Consolas" w:eastAsia="Consolas" w:hAnsi="Consolas"/>
          <w:sz w:val="20"/>
          <w:szCs w:val="20"/>
        </w:rPr>
        <w:t xml:space="preserve">{app&gt;/isAnalyst}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{app&gt;/isReviewer}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{app&gt;/isAdmin}</w:t>
      </w:r>
      <w:r>
        <w:t xml:space="preserve"> used for target gating and control visibility. UI gating is convenience only — the backend AUTHORITY-CHECK remains authoritative.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2. Navigation Model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3A4A5A"/>
          <w:sz w:val="18"/>
          <w:szCs w:val="18"/>
        </w:rPr>
        <w:t xml:space="preserve">Figure 1 — Route map and role-gated entry points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2.1 Routing Table (manifest.json)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740"/>
        <w:gridCol w:w="2300"/>
      </w:tblGrid>
      <w:tr>
        <w:trPr>
          <w:tblHeader/>
        </w:trPr>
        <w:tc>
          <w:tcPr>
            <w:tcW w:type="dxa" w:w="15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7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View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worklist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(empty)</w:t>
            </w:r>
          </w:p>
        </w:tc>
        <w:tc>
          <w:tcPr>
            <w:tcW w:type="dxa" w:w="2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Worklist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default; AN/AD</w:t>
            </w:r>
          </w:p>
        </w:tc>
      </w:tr>
      <w:tr>
        <w:tc>
          <w:tcPr>
            <w:tcW w:type="dxa" w:w="1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</w:t>
            </w:r>
          </w:p>
        </w:tc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checklist/{headerGuid}</w:t>
            </w:r>
          </w:p>
        </w:tc>
        <w:tc>
          <w:tcPr>
            <w:tcW w:type="dxa" w:w="2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ChecklistDetail (mode=edit)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owner/backup or AD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</w:t>
            </w:r>
          </w:p>
        </w:tc>
        <w:tc>
          <w:tcPr>
            <w:tcW w:type="dxa" w:w="2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ReviewQueue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RV/AD</w:t>
            </w:r>
          </w:p>
        </w:tc>
      </w:tr>
      <w:tr>
        <w:tc>
          <w:tcPr>
            <w:tcW w:type="dxa" w:w="1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detailReview</w:t>
            </w:r>
          </w:p>
        </w:tc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review/{headerGuid}</w:t>
            </w:r>
          </w:p>
        </w:tc>
        <w:tc>
          <w:tcPr>
            <w:tcW w:type="dxa" w:w="2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ChecklistDetail (mode=review)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RV/AD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</w:t>
            </w:r>
          </w:p>
        </w:tc>
        <w:tc>
          <w:tcPr>
            <w:tcW w:type="dxa" w:w="2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AdminBoard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</w:t>
            </w:r>
          </w:p>
        </w:tc>
      </w:tr>
      <w:tr>
        <w:tc>
          <w:tcPr>
            <w:tcW w:type="dxa" w:w="1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notFound</w:t>
            </w:r>
          </w:p>
        </w:tc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…rest</w:t>
            </w:r>
          </w:p>
        </w:tc>
        <w:tc>
          <w:tcPr>
            <w:tcW w:type="dxa" w:w="2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t xml:space="preserve">Role-based landing: Component decides the initial route — analysts land on Worklist, pure reviewers on ReviewQueue, admins on Worklist with the admin tab visible.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Deep links: reminder e-mails carry </w:t>
      </w:r>
      <w:r>
        <w:rPr>
          <w:rFonts w:ascii="Consolas" w:cs="Consolas" w:eastAsia="Consolas" w:hAnsi="Consolas"/>
          <w:sz w:val="20"/>
          <w:szCs w:val="20"/>
        </w:rPr>
        <w:t xml:space="preserve">#/checklist/{guid}</w:t>
      </w:r>
      <w:r>
        <w:t xml:space="preserve"> — the pattern matches with no session state required; the guard check runs in </w:t>
      </w:r>
      <w:r>
        <w:rPr>
          <w:rFonts w:ascii="Consolas" w:cs="Consolas" w:eastAsia="Consolas" w:hAnsi="Consolas"/>
          <w:sz w:val="20"/>
          <w:szCs w:val="20"/>
        </w:rPr>
        <w:t xml:space="preserve">onPatternMatched</w:t>
      </w:r>
      <w:r>
        <w:t xml:space="preserve"> and falls back to NotFound on a 403.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One detail view, two modes: ChecklistDetail renders edit vs. review from the route, not from duplicated views — single form logic, single formatter set, no drift between analyst and reviewer rendering.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3. View Design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3.1 Worklist (analyst home)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3A4A5A"/>
          <w:sz w:val="18"/>
          <w:szCs w:val="18"/>
        </w:rPr>
        <w:t xml:space="preserve">Figure 2 — Worklist: status IconTabBar, filter bar, growing table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sap.m.IconTabBar</w:t>
      </w:r>
      <w:r>
        <w:t xml:space="preserve"> with status filters mapped to $filter on Status; counts via $count requests batched with the list read.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/>
          <w:b w:val="0"/>
          <w:i w:val="0"/>
          <w:color w:val="1A1A1A"/>
          <w:sz w:val="22"/>
        </w:rPr>
        <w:t>Filter bar: cascading LOB → Market Segment ComboBoxes fed by MarketSegVH's Lob property; whole-LOB CSR instances display Segment = 'All'.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Table is </w:t>
      </w:r>
      <w:r>
        <w:rPr>
          <w:rFonts w:ascii="Consolas" w:cs="Consolas" w:eastAsia="Consolas" w:hAnsi="Consolas"/>
          <w:sz w:val="20"/>
          <w:szCs w:val="20"/>
        </w:rPr>
        <w:t xml:space="preserve">sap.m.Table</w:t>
      </w:r>
      <w:r>
        <w:t xml:space="preserve"> with growing=true (growingThreshold 25) — $skip/$top paging against ChecklistHeaderSet; default sort DueDate asc.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Status pill = </w:t>
      </w:r>
      <w:r>
        <w:rPr>
          <w:rFonts w:ascii="Consolas" w:cs="Consolas" w:eastAsia="Consolas" w:hAnsi="Consolas"/>
          <w:sz w:val="20"/>
          <w:szCs w:val="20"/>
        </w:rPr>
        <w:t xml:space="preserve">sap.m.ObjectStatus</w:t>
      </w:r>
      <w:r>
        <w:t xml:space="preserve"> with semantic state from formatter (see §5); progress = </w:t>
      </w:r>
      <w:r>
        <w:rPr>
          <w:rFonts w:ascii="Consolas" w:cs="Consolas" w:eastAsia="Consolas" w:hAnsi="Consolas"/>
          <w:sz w:val="20"/>
          <w:szCs w:val="20"/>
        </w:rPr>
        <w:t xml:space="preserve">sap.m.ProgressIndicator</w:t>
      </w:r>
      <w:r>
        <w:t xml:space="preserve"> bound to CompletionPct.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Row press navigates to detail; no inline editing in the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Generate Instances footer button: visible={app&gt;/isAdmin}, opens confirmation dialog, calls the GenerateInstances function import, then refreshes the binding.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3.2 ChecklistDetail (edit + review modes)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3A4A5A"/>
          <w:sz w:val="18"/>
        </w:rPr>
        <w:t>Figure 3 — Detail: procedure cards (collapsible requirement &amp; example, per-question N/A, Sign &amp; Submit)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hAnsi="Consolas"/>
          <w:b w:val="0"/>
          <w:i w:val="0"/>
          <w:color w:val="1A1A1A"/>
          <w:sz w:val="20"/>
        </w:rPr>
        <w:t>sap.f.DynamicPage</w:t>
      </w:r>
      <w:r>
        <w:rPr>
          <w:rFonts w:ascii="Calibri" w:hAnsi="Calibri"/>
          <w:b w:val="0"/>
          <w:i w:val="0"/>
          <w:color w:val="1A1A1A"/>
          <w:sz w:val="22"/>
        </w:rPr>
        <w:t>: header = summary (type, LOB, segment — 'All' for whole-LOB CSR — period, status, due, catalog version, AI flag count); content = full-width procedure cards. The left section rail renders only for multi-section catalogs (Market Segment checklists); LOB checklists (one flat section, 3–4 procedures) get no rail.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Items bound once via </w:t>
      </w:r>
      <w:r>
        <w:rPr>
          <w:rFonts w:ascii="Consolas" w:cs="Consolas" w:eastAsia="Consolas" w:hAnsi="Consolas"/>
          <w:sz w:val="20"/>
          <w:szCs w:val="20"/>
        </w:rPr>
        <w:t xml:space="preserve">ToItems</w:t>
      </w:r>
      <w:r>
        <w:t xml:space="preserve"> with $expand on open (single round trip, catalog fields denormalized per tech spec §6.1); grouped client-side by Section, ordered by Seqnr. Section list press scrolls to the section anchor (</w:t>
      </w:r>
      <w:r>
        <w:rPr>
          <w:rFonts w:ascii="Consolas" w:cs="Consolas" w:eastAsia="Consolas" w:hAnsi="Consolas"/>
          <w:sz w:val="20"/>
          <w:szCs w:val="20"/>
        </w:rPr>
        <w:t xml:space="preserve">ScrollContainer.scrollToElement</w:t>
      </w:r>
      <w:r>
        <w:t xml:space="preserve">).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>Procedure card anatomy (per catalog row)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40"/>
      </w:tblGrid>
      <w:tr>
        <w:trPr>
          <w:tblHeader/>
        </w:trPr>
        <w:tc>
          <w:tcPr>
            <w:tcW w:type="dxa" w:w="19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Card element</w:t>
            </w:r>
          </w:p>
        </w:tc>
        <w:tc>
          <w:tcPr>
            <w:tcW w:type="dxa" w:w="30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1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Title bar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sap.m.Panel headerToolbar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“n · TITLE” + completion indicator (✓ answered / open / N/A)</w:t>
            </w:r>
          </w:p>
        </w:tc>
      </w:tr>
      <w:tr>
        <w:tc>
          <w:tcPr>
            <w:tcW w:type="dxa" w:w="19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Requirement text</w:t>
            </w:r>
          </w:p>
        </w:tc>
        <w:tc>
          <w:tcPr>
            <w:tcW w:type="dxa" w:w="3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sap.m.Text maxLines=3 + “Show more” link</w:t>
            </w:r>
          </w:p>
        </w:tc>
        <w:tc>
          <w:tcPr>
            <w:tcW w:type="dxa" w:w="4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expands full QUESTION_TEXT inline; 600–1,600 chars in real templates, so collapsed by default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Example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sap.m.Panel (collapsed)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renders EXAMPLE_TEXT verbatim — the template's 'Examples' column analysts already rely on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Response (green)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sap.m.TextArea (growing) + N/A sap.m.Switch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cssClass zcsrInput; N/A switch rendered only when NaAllowed; toggling disables the field, sets NaFlag, satisfies RespRequired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Attachments (yellow)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hAnsi="Consolas"/>
                <w:b w:val="0"/>
                <w:i w:val="0"/>
                <w:color w:val="1A1A1A"/>
                <w:sz w:val="19"/>
              </w:rPr>
              <w:t>sap.m.upload.UploadSet bound to ToAttachments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cssClass zcsrAttach; labeled “Optional Attachments” (AttachMode O) or “Required evidence” (R); only R blocks submission when empty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A1A1A"/>
        </w:rPr>
        <w:t xml:space="preserve">Autosave &amp; submit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Autosave: liveChange starts a 2 s debounce timer; on idle, submitChanges() flushes the batch of MERGEs. Footer shows last-saved timestamp. beforeunload / route-leave triggers a final flush.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/>
          <w:b w:val="0"/>
          <w:i w:val="0"/>
          <w:color w:val="1A1A1A"/>
          <w:sz w:val="22"/>
        </w:rPr>
        <w:t>Sign &amp; Submit: button label matches the template's electronic-signature language. Calls SubmitChecklist function import. On success — status refresh, form locks, MessageToast. On business error — the message container details are pushed into MessageManager; each failing QuestionId maps back to its control (ValueState=Error + valueStateText) and the Messages popover lists all of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Review mode: form renders read-only (editable=false via {app&gt;/mode} expression binding), AI flag panel expands, footer swaps to Complete Review / Return to Analyst. Return opens ReturnNotesDialog with a required TextArea (client check + server enforcement).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Returned banner: when Status=RT, a MessageStrip at the top shows the latest ToReviews note so the analyst sees why it came back without leaving the 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/>
          <w:b w:val="0"/>
          <w:i w:val="0"/>
          <w:color w:val="1A1A1A"/>
          <w:sz w:val="22"/>
        </w:rPr>
        <w:t>Instructions panel: collapsed sap.m.Panel above the first card renders the catalog's Instructions/Notes rows (INPTYPE C) — auto-expanded on a checklist's first open, collapsed on return visits. Fixes the template's buried-instructions problem.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3.3 ReviewQueue (reviewer home)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3A4A5A"/>
          <w:sz w:val="18"/>
          <w:szCs w:val="18"/>
        </w:rPr>
        <w:t xml:space="preserve">Figure 4 — Review queue sorted by AI severity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Reads ChecklistHeaderSet with $filter=Status eq 'SB' or Status eq 'UR' (reviewer scope applied server-side); default sort: AI severity desc (server-computed AiFlagCount + max severity), then SignedAt asc.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Severity chips aggregate ToAiFlags counts by H/M/L; empty state renders “— none”.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Start Review triggers the StartReview function import (SB→UR) and navigates to detailReview; Continue navigates directly for UR items owned by the current reviewer.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3.4 AdminBoard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3A4A5A"/>
          <w:sz w:val="18"/>
          <w:szCs w:val="18"/>
        </w:rPr>
        <w:t xml:space="preserve">Figure 5 — Admin status matrix with KPIs and deadline strip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KPI header tiles (overall completion, not started, overdue, awaiting review) computed from one aggregated read.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Matrix: rows = scopes (segment/LOB), columns = four checklist types; cell renders status pill + completion; cell press navigates to Worklist pre-filtered to that 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Reassign opens ReassignDialog with AnalystVH value help → ReassignChecklist function import → matrix refresh. Action is change-documented server-side.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Deadline strip surfaces ZCSR_DEADLINE config (read-only in prototype; maintained via SM30).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4. Shared Fragments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3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Fragment</w:t>
            </w:r>
          </w:p>
        </w:tc>
        <w:tc>
          <w:tcPr>
            <w:tcW w:type="dxa" w:w="26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UploadDialog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file on an attachment item</w:t>
            </w:r>
          </w:p>
        </w:tc>
        <w:tc>
          <w:tcPr>
            <w:tcW w:type="dxa" w:w="4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UploadSet instance; shows per-file progress; rejects &gt;25 MB client-side (server enforces too)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ReturnNotesDialog</w:t>
            </w:r>
          </w:p>
        </w:tc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 to Analyst (review mode)</w:t>
            </w:r>
          </w:p>
        </w:tc>
        <w:tc>
          <w:tcPr>
            <w:tcW w:type="dxa" w:w="4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TextArea; Cancel/Return; Return disabled until non-empty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ReassignDialog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AdminBoard / Detail (admin)</w:t>
            </w:r>
          </w:p>
        </w:tc>
        <w:tc>
          <w:tcPr>
            <w:tcW w:type="dxa" w:w="4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AnalystVH ComboBox, effective-immediately note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ExportDialog</w:t>
            </w:r>
          </w:p>
        </w:tc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 button (Status=CP)</w:t>
            </w:r>
          </w:p>
        </w:tc>
        <w:tc>
          <w:tcPr>
            <w:tcW w:type="dxa" w:w="4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Calls ExportEvidence (GET, Edm.Binary) → triggers browser download of the ZIP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MessagePopoverFrag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 footer button</w:t>
            </w:r>
          </w:p>
        </w:tc>
        <w:tc>
          <w:tcPr>
            <w:tcW w:type="dxa" w:w="4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Bound to MessageManager model; message press focuses the failing control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E1414"/>
        </w:rPr>
        <w:t xml:space="preserve">5. Formatters &amp; Color Semantics</w:t>
      </w:r>
    </w:p>
    <w:p>
      <w:pPr>
        <w:spacing w:after="120" w:line="276"/>
      </w:pPr>
      <w:r>
        <w:t xml:space="preserve">The Excel color language carries over 1:1 so analysts need zero retraining: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40"/>
      </w:tblGrid>
      <w:tr>
        <w:trPr>
          <w:tblHeader/>
        </w:trPr>
        <w:tc>
          <w:tcPr>
            <w:tcW w:type="dxa" w:w="18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34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8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.zcsrInput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response controls (INPTYPE I)</w:t>
            </w:r>
          </w:p>
        </w:tc>
        <w:tc>
          <w:tcPr>
            <w:tcW w:type="dxa" w:w="38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 green background, green border (matches current template)</w:t>
            </w:r>
          </w:p>
        </w:tc>
      </w:tr>
      <w:tr>
        <w:tc>
          <w:tcPr>
            <w:tcW w:type="dxa" w:w="18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.zcsrAttach</w:t>
            </w:r>
          </w:p>
        </w:tc>
        <w:tc>
          <w:tcPr>
            <w:tcW w:type="dxa" w:w="34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attachment areas (ATTACH_MODE O/R)</w:t>
            </w:r>
          </w:p>
        </w:tc>
        <w:tc>
          <w:tcPr>
            <w:tcW w:type="dxa" w:w="38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 yellow background, ochre border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.zcsrComment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guidance strips (INPTYPE C)</w:t>
            </w:r>
          </w:p>
        </w:tc>
        <w:tc>
          <w:tcPr>
            <w:tcW w:type="dxa" w:w="38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neutral gray info styling</w:t>
            </w:r>
          </w:p>
        </w:tc>
      </w:tr>
    </w:tbl>
    <w:p>
      <w:pPr>
        <w:spacing w:after="120" w:line="276"/>
      </w:pPr>
      <w:r>
        <w:t xml:space="preserve">Formatter map (in </w:t>
      </w:r>
      <w:r>
        <w:rPr>
          <w:rFonts w:ascii="Consolas" w:cs="Consolas" w:eastAsia="Consolas" w:hAnsi="Consolas"/>
          <w:sz w:val="20"/>
          <w:szCs w:val="20"/>
        </w:rPr>
        <w:t xml:space="preserve">formatter.js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</w:rPr>
        <w:t xml:space="preserve">statusState</w:t>
      </w:r>
      <w:r>
        <w:t xml:space="preserve"> NS→None · IP→Warning · SB→Information · UR→Information · RT→Error · CP→Success; </w:t>
      </w:r>
      <w:r>
        <w:rPr>
          <w:rFonts w:ascii="Consolas" w:cs="Consolas" w:eastAsia="Consolas" w:hAnsi="Consolas"/>
          <w:sz w:val="20"/>
          <w:szCs w:val="20"/>
        </w:rPr>
        <w:t xml:space="preserve">severityState</w:t>
      </w:r>
      <w:r>
        <w:t xml:space="preserve"> H→Error · M→Warning · L→Information; </w:t>
      </w:r>
      <w:r>
        <w:rPr>
          <w:rFonts w:ascii="Consolas" w:cs="Consolas" w:eastAsia="Consolas" w:hAnsi="Consolas"/>
          <w:sz w:val="20"/>
          <w:szCs w:val="20"/>
        </w:rPr>
        <w:t xml:space="preserve">statusText</w:t>
      </w:r>
      <w:r>
        <w:t xml:space="preserve"> resolves via i18n keys, never hard-coded.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Theme: standard sap_horizon (FES 2022 default) — the custom classes shade only the response controls, keeping Fiori look-and-feel elsewhere. No custom theme build required.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6. Cross-Cutting Concerns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Central OData error handler registered in Component on </w:t>
      </w:r>
      <w:r>
        <w:rPr>
          <w:rFonts w:ascii="Consolas" w:cs="Consolas" w:eastAsia="Consolas" w:hAnsi="Consolas"/>
          <w:sz w:val="20"/>
          <w:szCs w:val="20"/>
        </w:rPr>
        <w:t xml:space="preserve">metadataFailed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requestFailed</w:t>
      </w:r>
      <w:r>
        <w:t xml:space="preserve">: parses the V2 error envelope (leading message + inner details) into MessageManager; technical errors get a generic dialog, business errors flow to the popover.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Busy handling: app&gt;/busy drives a single BusyIndicator per view; function-import calls set it explicitly (batch autosave stays silent).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CSRF: standard V2 model token handling; UploadSet gets the token injected into its headers before upload.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i18n: all labels/messages in i18n.properties from day one — cheap now, painful later.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Accessibility: labels via labelFor/ariaLabelledBy, section list is keyboard navigable, status conveyed by text + state (not color alone) — relevant given the color-semantic design.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client-side storage: all draft state lives in the OData backend via autosave; a browser crash loses at most the 2 s debounce window.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7. Open Design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Section anchors vs. IconTabBar inside the form for very long checklists — decide after seeing real question counts per section.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Whether AdminBoard KPIs warrant a dedicated aggregate entity or client-side reduction over ChecklistHeaderSet (prototype: client-side; revisit if scope count grows).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Max upload size and allowed MIME types — confirm with audit team; enforced in CREATE_STREAM either way.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4A5A"/>
        <w:sz w:val="16"/>
        <w:szCs w:val="16"/>
      </w:rPr>
      <w:t xml:space="preserve">Confidential — Draft v0.2     Page </w:t>
    </w:r>
    <w:r>
      <w:rPr>
        <w:color w:val="3A4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A4A5A"/>
        <w:sz w:val="16"/>
        <w:szCs w:val="16"/>
      </w:rPr>
      <w:t xml:space="preserve"> of </w:t>
    </w:r>
    <w:r>
      <w:rPr>
        <w:color w:val="3A4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A4A5A"/>
        <w:sz w:val="16"/>
        <w:szCs w:val="16"/>
      </w:rPr>
      <w:t xml:space="preserve">CSR Auditing Application — UI5 Design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6E141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A4A5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9b28264a8d11855525ef78a8e488b0b5d792d0.png"/><Relationship Id="rId10" Type="http://schemas.openxmlformats.org/officeDocument/2006/relationships/image" Target="media/f57a0596009181de92066f9b22c91de4edd3495b.png"/><Relationship Id="rId11" Type="http://schemas.openxmlformats.org/officeDocument/2006/relationships/image" Target="media/23d41dede1fe5de9d662e63c3c46d52ba095664e.png"/><Relationship Id="rId12" Type="http://schemas.openxmlformats.org/officeDocument/2006/relationships/image" Target="media/9b6c6fe8b30b3051b2ce55160485696bc3c52a7c.png"/><Relationship Id="rId13" Type="http://schemas.openxmlformats.org/officeDocument/2006/relationships/image" Target="media/089641756b44fe1e11cd1c4899717a2c185c8310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Auditing Application — UI5 Application Design Proposal</dc:title>
  <dc:creator>CSR Project</dc:creator>
  <cp:lastModifiedBy>Un-named</cp:lastModifiedBy>
  <cp:revision>1</cp:revision>
  <dcterms:created xsi:type="dcterms:W3CDTF">2026-08-04T21:09:19.581Z</dcterms:created>
  <dcterms:modified xsi:type="dcterms:W3CDTF">2026-08-04T21:09:19.581Z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