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b/>
          <w:bCs/>
          <w:color w:val="6E1414"/>
          <w:sz w:val="56"/>
          <w:szCs w:val="56"/>
        </w:rPr>
        <w:t xml:space="preserve">CSR Auditing Application</w:t>
      </w:r>
    </w:p>
    <w:p>
      <w:pPr>
        <w:spacing w:before="120"/>
        <w:jc w:val="center"/>
      </w:pPr>
      <w:r>
        <w:rPr>
          <w:color w:val="3A4A5A"/>
          <w:sz w:val="32"/>
          <w:szCs w:val="32"/>
        </w:rPr>
        <w:t xml:space="preserve">Quarterly Checklist &amp; Audit Platform</w:t>
      </w:r>
    </w:p>
    <w:p>
      <w:pPr>
        <w:spacing w:before="480"/>
        <w:jc w:val="center"/>
      </w:pPr>
      <w:r>
        <w:rPr>
          <w:b/>
          <w:bCs/>
          <w:color w:val="1A1A1A"/>
          <w:sz w:val="28"/>
          <w:szCs w:val="28"/>
        </w:rPr>
        <w:t xml:space="preserve">PRODUCT REQUIREMENTS DOCUMENT</w:t>
      </w:r>
    </w:p>
    <w:p>
      <w:pPr>
        <w:spacing w:before="120"/>
        <w:jc w:val="center"/>
      </w:pPr>
      <w:r>
        <w:rPr>
          <w:i/>
          <w:iCs/>
          <w:color w:val="3A4A5A"/>
          <w:sz w:val="24"/>
          <w:szCs w:val="24"/>
        </w:rPr>
        <w:t xml:space="preserve">Prototype Phase</w:t>
      </w:r>
    </w:p>
    <w:p>
      <w:pPr>
        <w:spacing w:before="1700"/>
        <w:jc w:val="center"/>
      </w:pPr>
      <w:r>
        <w:rPr>
          <w:color w:val="3A4A5A"/>
          <w:sz w:val="20"/>
          <w:szCs w:val="20"/>
        </w:rPr>
        <w:t xml:space="preserve">Version 0.1 (Draft) · 2026-08-04</w:t>
      </w:r>
    </w:p>
    <w:p>
      <w:r>
        <w:br w:type="page"/>
      </w:r>
    </w:p>
    <w:p>
      <w:pPr>
        <w:pStyle w:val="Heading1"/>
        <w:spacing w:after="160"/>
      </w:pPr>
      <w:r>
        <w:rPr>
          <w:b/>
          <w:bCs/>
          <w:color w:val="6E1414"/>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b/>
          <w:bCs/>
          <w:color w:val="6E1414"/>
        </w:rPr>
        <w:t xml:space="preserve">1. Executive Summary</w:t>
      </w:r>
    </w:p>
    <w:p>
      <w:pPr>
        <w:spacing w:after="120" w:line="276"/>
      </w:pPr>
      <w:r>
        <w:t xml:space="preserve">The CSR Auditing Application replaces a manual, spreadsheet-and-SharePoint quarterly checklist process with a governed SAP Fiori application that enforces completeness, captures a defensible audit trail, and reduces the coordination burden currently carried by the process owner. The prototype proves the end-to-end workflow on the client's existing landscape (ECC8 / FES 2022 hub / OData V2) and demonstrates an AI-assisted triage capability using the client's in-house LLM platform.</w:t>
      </w:r>
    </w:p>
    <w:p>
      <w:pPr>
        <w:spacing w:after="120" w:line="276"/>
      </w:pPr>
      <w:r>
        <w:t xml:space="preserve">This PRD defines the problem, goals, users, and prioritized requirements for the prototype, and frames the path to a production build. It is intended to support the management approval decision and to align stakeholders before development.</w:t>
      </w:r>
    </w:p>
    <w:p>
      <w:pPr>
        <w:pStyle w:val="Heading1"/>
        <w:spacing w:after="160" w:before="320"/>
      </w:pPr>
      <w:r>
        <w:rPr>
          <w:b/>
          <w:bCs/>
          <w:color w:val="6E1414"/>
        </w:rPr>
        <w:t xml:space="preserve">2. Problem Statement</w:t>
      </w:r>
    </w:p>
    <w:p>
      <w:pPr>
        <w:spacing w:after="120" w:line="276"/>
      </w:pPr>
      <w:r>
        <w:t xml:space="preserve">Quarterly CSR and quarter-close checklists are completed by analysts across market segments and lines of business using shared Excel templates on SharePoint. The process owner must open each checklist individually to assess completeness and manually chase incomplete or unstarted submissions. There is no enforced validation, weak version control, coarse access permissions, and an audit trail that is effortful to assemble and defend. Audit evidence must ultimately be surfaced to external auditor systems, adding manual assembly work each cycle.</w:t>
      </w:r>
    </w:p>
    <w:p>
      <w:pPr>
        <w:pStyle w:val="Heading1"/>
        <w:spacing w:after="160" w:before="320"/>
      </w:pPr>
      <w:r>
        <w:rPr>
          <w:b/>
          <w:bCs/>
          <w:color w:val="6E1414"/>
        </w:rPr>
        <w:t xml:space="preserve">3. Goals &amp; Success Criteria</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3200"/>
        <w:gridCol w:w="5840"/>
      </w:tblGrid>
      <w:tr>
        <w:trPr>
          <w:tblHeader/>
        </w:trPr>
        <w:tc>
          <w:tcPr>
            <w:tcW w:type="dxa" w:w="3200"/>
            <w:shd w:fill="6E1414" w:color="auto" w:val="clear"/>
            <w:tcMar>
              <w:top w:type="dxa" w:w="60"/>
              <w:left w:type="dxa" w:w="100"/>
              <w:bottom w:type="dxa" w:w="60"/>
              <w:right w:type="dxa" w:w="100"/>
            </w:tcMar>
          </w:tcPr>
          <w:p>
            <w:r>
              <w:rPr>
                <w:b/>
                <w:bCs/>
                <w:color w:val="FFFFFF"/>
              </w:rPr>
              <w:t xml:space="preserve">Goal</w:t>
            </w:r>
          </w:p>
        </w:tc>
        <w:tc>
          <w:tcPr>
            <w:tcW w:type="dxa" w:w="5840"/>
            <w:shd w:fill="6E1414" w:color="auto" w:val="clear"/>
            <w:tcMar>
              <w:top w:type="dxa" w:w="60"/>
              <w:left w:type="dxa" w:w="100"/>
              <w:bottom w:type="dxa" w:w="60"/>
              <w:right w:type="dxa" w:w="100"/>
            </w:tcMar>
          </w:tcPr>
          <w:p>
            <w:r>
              <w:rPr>
                <w:b/>
                <w:bCs/>
                <w:color w:val="FFFFFF"/>
              </w:rPr>
              <w:t xml:space="preserve">Success Criterion</w:t>
            </w:r>
          </w:p>
        </w:tc>
      </w:tr>
      <w:tr>
        <w:tc>
          <w:tcPr>
            <w:tcW w:type="dxa" w:w="3200"/>
            <w:tcMar>
              <w:top w:type="dxa" w:w="50"/>
              <w:left w:type="dxa" w:w="100"/>
              <w:bottom w:type="dxa" w:w="50"/>
              <w:right w:type="dxa" w:w="100"/>
            </w:tcMar>
          </w:tcPr>
          <w:p>
            <w:r>
              <w:t xml:space="preserve">Eliminate manual chasing</w:t>
            </w:r>
          </w:p>
        </w:tc>
        <w:tc>
          <w:tcPr>
            <w:tcW w:type="dxa" w:w="5840"/>
            <w:tcMar>
              <w:top w:type="dxa" w:w="50"/>
              <w:left w:type="dxa" w:w="100"/>
              <w:bottom w:type="dxa" w:w="50"/>
              <w:right w:type="dxa" w:w="100"/>
            </w:tcMar>
          </w:tcPr>
          <w:p>
            <w:r>
              <w:t xml:space="preserve">Reminders dispatched automatically against deadlines; process owner no longer opens each checklist to gauge status</w:t>
            </w:r>
          </w:p>
        </w:tc>
      </w:tr>
      <w:tr>
        <w:tc>
          <w:tcPr>
            <w:tcW w:type="dxa" w:w="3200"/>
            <w:shd w:fill="E8ECEF" w:color="auto" w:val="clear"/>
            <w:tcMar>
              <w:top w:type="dxa" w:w="50"/>
              <w:left w:type="dxa" w:w="100"/>
              <w:bottom w:type="dxa" w:w="50"/>
              <w:right w:type="dxa" w:w="100"/>
            </w:tcMar>
          </w:tcPr>
          <w:p>
            <w:r>
              <w:t xml:space="preserve">Guarantee completeness</w:t>
            </w:r>
          </w:p>
        </w:tc>
        <w:tc>
          <w:tcPr>
            <w:tcW w:type="dxa" w:w="5840"/>
            <w:shd w:fill="E8ECEF" w:color="auto" w:val="clear"/>
            <w:tcMar>
              <w:top w:type="dxa" w:w="50"/>
              <w:left w:type="dxa" w:w="100"/>
              <w:bottom w:type="dxa" w:w="50"/>
              <w:right w:type="dxa" w:w="100"/>
            </w:tcMar>
          </w:tcPr>
          <w:p>
            <w:r>
              <w:t xml:space="preserve">No checklist can be submitted with unanswered required fields; "NA" is explicit</w:t>
            </w:r>
          </w:p>
        </w:tc>
      </w:tr>
      <w:tr>
        <w:tc>
          <w:tcPr>
            <w:tcW w:type="dxa" w:w="3200"/>
            <w:tcMar>
              <w:top w:type="dxa" w:w="50"/>
              <w:left w:type="dxa" w:w="100"/>
              <w:bottom w:type="dxa" w:w="50"/>
              <w:right w:type="dxa" w:w="100"/>
            </w:tcMar>
          </w:tcPr>
          <w:p>
            <w:r>
              <w:t xml:space="preserve">Produce a defensible audit trail</w:t>
            </w:r>
          </w:p>
        </w:tc>
        <w:tc>
          <w:tcPr>
            <w:tcW w:type="dxa" w:w="5840"/>
            <w:tcMar>
              <w:top w:type="dxa" w:w="50"/>
              <w:left w:type="dxa" w:w="100"/>
              <w:bottom w:type="dxa" w:w="50"/>
              <w:right w:type="dxa" w:w="100"/>
            </w:tcMar>
          </w:tcPr>
          <w:p>
            <w:r>
              <w:t xml:space="preserve">Every change attributable to user + timestamp; evidence export assembled in one action</w:t>
            </w:r>
          </w:p>
        </w:tc>
      </w:tr>
      <w:tr>
        <w:tc>
          <w:tcPr>
            <w:tcW w:type="dxa" w:w="3200"/>
            <w:shd w:fill="E8ECEF" w:color="auto" w:val="clear"/>
            <w:tcMar>
              <w:top w:type="dxa" w:w="50"/>
              <w:left w:type="dxa" w:w="100"/>
              <w:bottom w:type="dxa" w:w="50"/>
              <w:right w:type="dxa" w:w="100"/>
            </w:tcMar>
          </w:tcPr>
          <w:p>
            <w:r>
              <w:t xml:space="preserve">Enforce ownership</w:t>
            </w:r>
          </w:p>
        </w:tc>
        <w:tc>
          <w:tcPr>
            <w:tcW w:type="dxa" w:w="5840"/>
            <w:shd w:fill="E8ECEF" w:color="auto" w:val="clear"/>
            <w:tcMar>
              <w:top w:type="dxa" w:w="50"/>
              <w:left w:type="dxa" w:w="100"/>
              <w:bottom w:type="dxa" w:w="50"/>
              <w:right w:type="dxa" w:w="100"/>
            </w:tcMar>
          </w:tcPr>
          <w:p>
            <w:r>
              <w:t xml:space="preserve">Analysts access only their scope; admins can reassign for coverage</w:t>
            </w:r>
          </w:p>
        </w:tc>
      </w:tr>
      <w:tr>
        <w:tc>
          <w:tcPr>
            <w:tcW w:type="dxa" w:w="3200"/>
            <w:tcMar>
              <w:top w:type="dxa" w:w="50"/>
              <w:left w:type="dxa" w:w="100"/>
              <w:bottom w:type="dxa" w:w="50"/>
              <w:right w:type="dxa" w:w="100"/>
            </w:tcMar>
          </w:tcPr>
          <w:p>
            <w:r>
              <w:t xml:space="preserve">Assist review</w:t>
            </w:r>
          </w:p>
        </w:tc>
        <w:tc>
          <w:tcPr>
            <w:tcW w:type="dxa" w:w="5840"/>
            <w:tcMar>
              <w:top w:type="dxa" w:w="50"/>
              <w:left w:type="dxa" w:w="100"/>
              <w:bottom w:type="dxa" w:w="50"/>
              <w:right w:type="dxa" w:w="100"/>
            </w:tcMar>
          </w:tcPr>
          <w:p>
            <w:r>
              <w:t xml:space="preserve">AI advisory flags surface likely-problem submissions for prioritized human review</w:t>
            </w:r>
          </w:p>
        </w:tc>
      </w:tr>
    </w:tbl>
    <w:p>
      <w:pPr>
        <w:pStyle w:val="Heading1"/>
        <w:spacing w:after="160" w:before="320"/>
      </w:pPr>
      <w:r>
        <w:rPr>
          <w:b/>
          <w:bCs/>
          <w:color w:val="6E1414"/>
        </w:rPr>
        <w:t xml:space="preserve">4. Users &amp; Personas</w:t>
      </w:r>
    </w:p>
    <w:p>
      <w:pPr>
        <w:pStyle w:val="ListParagraph"/>
        <w:numPr>
          <w:ilvl w:val="0"/>
          <w:numId w:val="2"/>
        </w:numPr>
        <w:spacing w:after="60" w:line="264"/>
      </w:pPr>
      <w:r>
        <w:rPr>
          <w:b/>
          <w:bCs/>
        </w:rPr>
        <w:t xml:space="preserve">Analyst — </w:t>
      </w:r>
      <w:r>
        <w:t xml:space="preserve">completes checklists for an assigned market segment or LOB each quarter. Wants a clear, save-as-you-go form that tells them exactly what is missing before submission.</w:t>
      </w:r>
    </w:p>
    <w:p>
      <w:pPr>
        <w:pStyle w:val="ListParagraph"/>
        <w:numPr>
          <w:ilvl w:val="0"/>
          <w:numId w:val="2"/>
        </w:numPr>
        <w:spacing w:after="60" w:line="264"/>
      </w:pPr>
      <w:r>
        <w:rPr>
          <w:b/>
          <w:bCs/>
        </w:rPr>
        <w:t xml:space="preserve">Reviewer — </w:t>
      </w:r>
      <w:r>
        <w:t xml:space="preserve">oversees submissions for a scope; wants to focus attention on the submissions most likely to have issues.</w:t>
      </w:r>
    </w:p>
    <w:p>
      <w:pPr>
        <w:pStyle w:val="ListParagraph"/>
        <w:numPr>
          <w:ilvl w:val="0"/>
          <w:numId w:val="2"/>
        </w:numPr>
        <w:spacing w:after="60" w:line="264"/>
      </w:pPr>
      <w:r>
        <w:rPr>
          <w:b/>
          <w:bCs/>
        </w:rPr>
        <w:t xml:space="preserve">Process Owner / Administrator — </w:t>
      </w:r>
      <w:r>
        <w:t xml:space="preserve">accountable for on-time, complete collection each cycle; wants status visibility, automated reminders, and the ability to reassign when someone is out.</w:t>
      </w:r>
    </w:p>
    <w:p>
      <w:pPr>
        <w:pStyle w:val="ListParagraph"/>
        <w:numPr>
          <w:ilvl w:val="0"/>
          <w:numId w:val="2"/>
        </w:numPr>
        <w:spacing w:after="60" w:line="264"/>
      </w:pPr>
      <w:r>
        <w:rPr>
          <w:b/>
          <w:bCs/>
        </w:rPr>
        <w:t xml:space="preserve">Auditor — </w:t>
      </w:r>
      <w:r>
        <w:t xml:space="preserve">internal or external; wants complete, tamper-evident evidence with a clear change history, retrievable as originally submitted.</w:t>
      </w:r>
    </w:p>
    <w:p>
      <w:pPr>
        <w:pStyle w:val="Heading1"/>
        <w:spacing w:after="160" w:before="320"/>
      </w:pPr>
      <w:r>
        <w:rPr>
          <w:b/>
          <w:bCs/>
          <w:color w:val="6E1414"/>
        </w:rPr>
        <w:t xml:space="preserve">5. Scope</w:t>
      </w:r>
    </w:p>
    <w:p>
      <w:pPr>
        <w:pStyle w:val="Heading2"/>
        <w:spacing w:after="120" w:before="260"/>
      </w:pPr>
      <w:r>
        <w:rPr>
          <w:b/>
          <w:bCs/>
          <w:color w:val="3A4A5A"/>
        </w:rPr>
        <w:t xml:space="preserve">5.1 In Scope (Prototype)</w:t>
      </w:r>
    </w:p>
    <w:p>
      <w:pPr>
        <w:pStyle w:val="ListParagraph"/>
        <w:numPr>
          <w:ilvl w:val="0"/>
          <w:numId w:val="2"/>
        </w:numPr>
        <w:spacing w:after="60" w:line="264"/>
      </w:pPr>
      <w:r>
        <w:t xml:space="preserve">All four checklist types (CSR and Quarter Close, at Market Segment and LOB levels).</w:t>
      </w:r>
    </w:p>
    <w:p>
      <w:pPr>
        <w:pStyle w:val="ListParagraph"/>
        <w:numPr>
          <w:ilvl w:val="0"/>
          <w:numId w:val="2"/>
        </w:numPr>
        <w:spacing w:after="60" w:line="264"/>
      </w:pPr>
      <w:r>
        <w:t xml:space="preserve">Full lifecycle: create, complete, validate, attach, submit, review, audit.</w:t>
      </w:r>
    </w:p>
    <w:p>
      <w:pPr>
        <w:pStyle w:val="ListParagraph"/>
        <w:numPr>
          <w:ilvl w:val="0"/>
          <w:numId w:val="2"/>
        </w:numPr>
        <w:spacing w:after="60" w:line="264"/>
      </w:pPr>
      <w:r>
        <w:t xml:space="preserve">XSTRING/Z-table attachment storage with hash, metadata, and audit logging.</w:t>
      </w:r>
    </w:p>
    <w:p>
      <w:pPr>
        <w:pStyle w:val="ListParagraph"/>
        <w:numPr>
          <w:ilvl w:val="0"/>
          <w:numId w:val="2"/>
        </w:numPr>
        <w:spacing w:after="60" w:line="264"/>
      </w:pPr>
      <w:r>
        <w:t xml:space="preserve">Automated reminder emails via background job + BCS.</w:t>
      </w:r>
    </w:p>
    <w:p>
      <w:pPr>
        <w:pStyle w:val="ListParagraph"/>
        <w:numPr>
          <w:ilvl w:val="0"/>
          <w:numId w:val="2"/>
        </w:numPr>
        <w:spacing w:after="60" w:line="264"/>
      </w:pPr>
      <w:r>
        <w:t xml:space="preserve">AI advisory triage via the in-house LLM platform.</w:t>
      </w:r>
    </w:p>
    <w:p>
      <w:pPr>
        <w:pStyle w:val="ListParagraph"/>
        <w:numPr>
          <w:ilvl w:val="0"/>
          <w:numId w:val="2"/>
        </w:numPr>
        <w:spacing w:after="60" w:line="264"/>
      </w:pPr>
      <w:r>
        <w:t xml:space="preserve">Evidence export bundle for manual external upload.</w:t>
      </w:r>
    </w:p>
    <w:p>
      <w:pPr>
        <w:pStyle w:val="Heading2"/>
        <w:spacing w:after="120" w:before="260"/>
      </w:pPr>
      <w:r>
        <w:rPr>
          <w:b/>
          <w:bCs/>
          <w:color w:val="3A4A5A"/>
        </w:rPr>
        <w:t xml:space="preserve">5.2 Out of Scope (Prototype)</w:t>
      </w:r>
    </w:p>
    <w:p>
      <w:pPr>
        <w:pStyle w:val="ListParagraph"/>
        <w:numPr>
          <w:ilvl w:val="0"/>
          <w:numId w:val="2"/>
        </w:numPr>
        <w:spacing w:after="60" w:line="264"/>
      </w:pPr>
      <w:r>
        <w:t xml:space="preserve">ArchiveLink/Content Server persistence (production candidate, feasibility TBD).</w:t>
      </w:r>
    </w:p>
    <w:p>
      <w:pPr>
        <w:pStyle w:val="ListParagraph"/>
        <w:numPr>
          <w:ilvl w:val="0"/>
          <w:numId w:val="2"/>
        </w:numPr>
        <w:spacing w:after="60" w:line="264"/>
      </w:pPr>
      <w:r>
        <w:t xml:space="preserve">System-to-system integration with Canvas/Optro or OneLMX.</w:t>
      </w:r>
    </w:p>
    <w:p>
      <w:pPr>
        <w:pStyle w:val="ListParagraph"/>
        <w:numPr>
          <w:ilvl w:val="0"/>
          <w:numId w:val="2"/>
        </w:numPr>
        <w:spacing w:after="60" w:line="264"/>
      </w:pPr>
      <w:r>
        <w:t xml:space="preserve">Historical data migration from existing spreadsheets.</w:t>
      </w:r>
    </w:p>
    <w:p>
      <w:r>
        <w:br w:type="page"/>
      </w:r>
    </w:p>
    <w:p>
      <w:pPr>
        <w:pStyle w:val="Heading1"/>
        <w:spacing w:after="160" w:before="320"/>
      </w:pPr>
      <w:r>
        <w:rPr>
          <w:b/>
          <w:bCs/>
          <w:color w:val="6E1414"/>
        </w:rPr>
        <w:t xml:space="preserve">6. Prioritized Requirements</w:t>
      </w:r>
    </w:p>
    <w:p>
      <w:pPr>
        <w:spacing w:after="120" w:line="276"/>
      </w:pPr>
      <w:r>
        <w:t xml:space="preserve">Priority uses MoSCoW: Must, Should, Could. Requirement IDs cross-reference the Functional Specification (FR-n).</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1100"/>
        <w:gridCol w:w="6740"/>
        <w:gridCol w:w="1200"/>
      </w:tblGrid>
      <w:tr>
        <w:trPr>
          <w:tblHeader/>
        </w:trPr>
        <w:tc>
          <w:tcPr>
            <w:tcW w:type="dxa" w:w="1100"/>
            <w:shd w:fill="6E1414" w:color="auto" w:val="clear"/>
            <w:tcMar>
              <w:top w:type="dxa" w:w="60"/>
              <w:left w:type="dxa" w:w="100"/>
              <w:bottom w:type="dxa" w:w="60"/>
              <w:right w:type="dxa" w:w="100"/>
            </w:tcMar>
          </w:tcPr>
          <w:p>
            <w:r>
              <w:rPr>
                <w:b/>
                <w:bCs/>
                <w:color w:val="FFFFFF"/>
              </w:rPr>
              <w:t xml:space="preserve">ID</w:t>
            </w:r>
          </w:p>
        </w:tc>
        <w:tc>
          <w:tcPr>
            <w:tcW w:type="dxa" w:w="6740"/>
            <w:shd w:fill="6E1414" w:color="auto" w:val="clear"/>
            <w:tcMar>
              <w:top w:type="dxa" w:w="60"/>
              <w:left w:type="dxa" w:w="100"/>
              <w:bottom w:type="dxa" w:w="60"/>
              <w:right w:type="dxa" w:w="100"/>
            </w:tcMar>
          </w:tcPr>
          <w:p>
            <w:r>
              <w:rPr>
                <w:b/>
                <w:bCs/>
                <w:color w:val="FFFFFF"/>
              </w:rPr>
              <w:t xml:space="preserve">Requirement</w:t>
            </w:r>
          </w:p>
        </w:tc>
        <w:tc>
          <w:tcPr>
            <w:tcW w:type="dxa" w:w="1200"/>
            <w:shd w:fill="6E1414" w:color="auto" w:val="clear"/>
            <w:tcMar>
              <w:top w:type="dxa" w:w="60"/>
              <w:left w:type="dxa" w:w="100"/>
              <w:bottom w:type="dxa" w:w="60"/>
              <w:right w:type="dxa" w:w="100"/>
            </w:tcMar>
          </w:tcPr>
          <w:p>
            <w:r>
              <w:rPr>
                <w:b/>
                <w:bCs/>
                <w:color w:val="FFFFFF"/>
              </w:rPr>
              <w:t xml:space="preserve">Priority</w:t>
            </w:r>
          </w:p>
        </w:tc>
      </w:tr>
      <w:tr>
        <w:tc>
          <w:tcPr>
            <w:tcW w:type="dxa" w:w="1100"/>
            <w:tcMar>
              <w:top w:type="dxa" w:w="50"/>
              <w:left w:type="dxa" w:w="100"/>
              <w:bottom w:type="dxa" w:w="50"/>
              <w:right w:type="dxa" w:w="100"/>
            </w:tcMar>
          </w:tcPr>
          <w:p>
            <w:r>
              <w:t xml:space="preserve">FR-1/2</w:t>
            </w:r>
          </w:p>
        </w:tc>
        <w:tc>
          <w:tcPr>
            <w:tcW w:type="dxa" w:w="6740"/>
            <w:tcMar>
              <w:top w:type="dxa" w:w="50"/>
              <w:left w:type="dxa" w:w="100"/>
              <w:bottom w:type="dxa" w:w="50"/>
              <w:right w:type="dxa" w:w="100"/>
            </w:tcMar>
          </w:tcPr>
          <w:p>
            <w:r>
              <w:t xml:space="preserve">Sectioned checklist driven by versioned catalog; preserve color-coded field semantics</w:t>
            </w:r>
          </w:p>
        </w:tc>
        <w:tc>
          <w:tcPr>
            <w:tcW w:type="dxa" w:w="1200"/>
            <w:tcMar>
              <w:top w:type="dxa" w:w="50"/>
              <w:left w:type="dxa" w:w="100"/>
              <w:bottom w:type="dxa" w:w="50"/>
              <w:right w:type="dxa" w:w="100"/>
            </w:tcMar>
          </w:tcPr>
          <w:p>
            <w:r>
              <w:t xml:space="preserve">Must</w:t>
            </w:r>
          </w:p>
        </w:tc>
      </w:tr>
      <w:tr>
        <w:tc>
          <w:tcPr>
            <w:tcW w:type="dxa" w:w="1100"/>
            <w:shd w:fill="E8ECEF" w:color="auto" w:val="clear"/>
            <w:tcMar>
              <w:top w:type="dxa" w:w="50"/>
              <w:left w:type="dxa" w:w="100"/>
              <w:bottom w:type="dxa" w:w="50"/>
              <w:right w:type="dxa" w:w="100"/>
            </w:tcMar>
          </w:tcPr>
          <w:p>
            <w:r>
              <w:t xml:space="preserve">FR-3</w:t>
            </w:r>
          </w:p>
        </w:tc>
        <w:tc>
          <w:tcPr>
            <w:tcW w:type="dxa" w:w="6740"/>
            <w:shd w:fill="E8ECEF" w:color="auto" w:val="clear"/>
            <w:tcMar>
              <w:top w:type="dxa" w:w="50"/>
              <w:left w:type="dxa" w:w="100"/>
              <w:bottom w:type="dxa" w:w="50"/>
              <w:right w:type="dxa" w:w="100"/>
            </w:tcMar>
          </w:tcPr>
          <w:p>
            <w:r>
              <w:t xml:space="preserve">Autosave drafts across sessions</w:t>
            </w:r>
          </w:p>
        </w:tc>
        <w:tc>
          <w:tcPr>
            <w:tcW w:type="dxa" w:w="1200"/>
            <w:shd w:fill="E8ECEF" w:color="auto" w:val="clear"/>
            <w:tcMar>
              <w:top w:type="dxa" w:w="50"/>
              <w:left w:type="dxa" w:w="100"/>
              <w:bottom w:type="dxa" w:w="50"/>
              <w:right w:type="dxa" w:w="100"/>
            </w:tcMar>
          </w:tcPr>
          <w:p>
            <w:r>
              <w:t xml:space="preserve">Should</w:t>
            </w:r>
          </w:p>
        </w:tc>
      </w:tr>
      <w:tr>
        <w:tc>
          <w:tcPr>
            <w:tcW w:type="dxa" w:w="1100"/>
            <w:tcMar>
              <w:top w:type="dxa" w:w="50"/>
              <w:left w:type="dxa" w:w="100"/>
              <w:bottom w:type="dxa" w:w="50"/>
              <w:right w:type="dxa" w:w="100"/>
            </w:tcMar>
          </w:tcPr>
          <w:p>
            <w:r>
              <w:t xml:space="preserve">FR-4</w:t>
            </w:r>
          </w:p>
        </w:tc>
        <w:tc>
          <w:tcPr>
            <w:tcW w:type="dxa" w:w="6740"/>
            <w:tcMar>
              <w:top w:type="dxa" w:w="50"/>
              <w:left w:type="dxa" w:w="100"/>
              <w:bottom w:type="dxa" w:w="50"/>
              <w:right w:type="dxa" w:w="100"/>
            </w:tcMar>
          </w:tcPr>
          <w:p>
            <w:r>
              <w:t xml:space="preserve">Explicit "NA" distinct from blank</w:t>
            </w:r>
          </w:p>
        </w:tc>
        <w:tc>
          <w:tcPr>
            <w:tcW w:type="dxa" w:w="1200"/>
            <w:tcMar>
              <w:top w:type="dxa" w:w="50"/>
              <w:left w:type="dxa" w:w="100"/>
              <w:bottom w:type="dxa" w:w="50"/>
              <w:right w:type="dxa" w:w="100"/>
            </w:tcMar>
          </w:tcPr>
          <w:p>
            <w:r>
              <w:t xml:space="preserve">Must</w:t>
            </w:r>
          </w:p>
        </w:tc>
      </w:tr>
      <w:tr>
        <w:tc>
          <w:tcPr>
            <w:tcW w:type="dxa" w:w="1100"/>
            <w:shd w:fill="E8ECEF" w:color="auto" w:val="clear"/>
            <w:tcMar>
              <w:top w:type="dxa" w:w="50"/>
              <w:left w:type="dxa" w:w="100"/>
              <w:bottom w:type="dxa" w:w="50"/>
              <w:right w:type="dxa" w:w="100"/>
            </w:tcMar>
          </w:tcPr>
          <w:p>
            <w:r>
              <w:t xml:space="preserve">FR-5..8</w:t>
            </w:r>
          </w:p>
        </w:tc>
        <w:tc>
          <w:tcPr>
            <w:tcW w:type="dxa" w:w="6740"/>
            <w:shd w:fill="E8ECEF" w:color="auto" w:val="clear"/>
            <w:tcMar>
              <w:top w:type="dxa" w:w="50"/>
              <w:left w:type="dxa" w:w="100"/>
              <w:bottom w:type="dxa" w:w="50"/>
              <w:right w:type="dxa" w:w="100"/>
            </w:tcMar>
          </w:tcPr>
          <w:p>
            <w:r>
              <w:t xml:space="preserve">Server-side validation; block incomplete submission with itemized failures</w:t>
            </w:r>
          </w:p>
        </w:tc>
        <w:tc>
          <w:tcPr>
            <w:tcW w:type="dxa" w:w="1200"/>
            <w:shd w:fill="E8ECEF" w:color="auto" w:val="clear"/>
            <w:tcMar>
              <w:top w:type="dxa" w:w="50"/>
              <w:left w:type="dxa" w:w="100"/>
              <w:bottom w:type="dxa" w:w="50"/>
              <w:right w:type="dxa" w:w="100"/>
            </w:tcMar>
          </w:tcPr>
          <w:p>
            <w:r>
              <w:t xml:space="preserve">Must</w:t>
            </w:r>
          </w:p>
        </w:tc>
      </w:tr>
      <w:tr>
        <w:tc>
          <w:tcPr>
            <w:tcW w:type="dxa" w:w="1100"/>
            <w:tcMar>
              <w:top w:type="dxa" w:w="50"/>
              <w:left w:type="dxa" w:w="100"/>
              <w:bottom w:type="dxa" w:w="50"/>
              <w:right w:type="dxa" w:w="100"/>
            </w:tcMar>
          </w:tcPr>
          <w:p>
            <w:r>
              <w:t xml:space="preserve">FR-9..13</w:t>
            </w:r>
          </w:p>
        </w:tc>
        <w:tc>
          <w:tcPr>
            <w:tcW w:type="dxa" w:w="6740"/>
            <w:tcMar>
              <w:top w:type="dxa" w:w="50"/>
              <w:left w:type="dxa" w:w="100"/>
              <w:bottom w:type="dxa" w:w="50"/>
              <w:right w:type="dxa" w:w="100"/>
            </w:tcMar>
          </w:tcPr>
          <w:p>
            <w:r>
              <w:t xml:space="preserve">Attachments: XSTRING persistence, SHA-256, metadata, byte-faithful retrieval, audit logging</w:t>
            </w:r>
          </w:p>
        </w:tc>
        <w:tc>
          <w:tcPr>
            <w:tcW w:type="dxa" w:w="1200"/>
            <w:tcMar>
              <w:top w:type="dxa" w:w="50"/>
              <w:left w:type="dxa" w:w="100"/>
              <w:bottom w:type="dxa" w:w="50"/>
              <w:right w:type="dxa" w:w="100"/>
            </w:tcMar>
          </w:tcPr>
          <w:p>
            <w:r>
              <w:t xml:space="preserve">Must</w:t>
            </w:r>
          </w:p>
        </w:tc>
      </w:tr>
      <w:tr>
        <w:tc>
          <w:tcPr>
            <w:tcW w:type="dxa" w:w="1100"/>
            <w:shd w:fill="E8ECEF" w:color="auto" w:val="clear"/>
            <w:tcMar>
              <w:top w:type="dxa" w:w="50"/>
              <w:left w:type="dxa" w:w="100"/>
              <w:bottom w:type="dxa" w:w="50"/>
              <w:right w:type="dxa" w:w="100"/>
            </w:tcMar>
          </w:tcPr>
          <w:p>
            <w:r>
              <w:t xml:space="preserve">FR-14/15</w:t>
            </w:r>
          </w:p>
        </w:tc>
        <w:tc>
          <w:tcPr>
            <w:tcW w:type="dxa" w:w="6740"/>
            <w:shd w:fill="E8ECEF" w:color="auto" w:val="clear"/>
            <w:tcMar>
              <w:top w:type="dxa" w:w="50"/>
              <w:left w:type="dxa" w:w="100"/>
              <w:bottom w:type="dxa" w:w="50"/>
              <w:right w:type="dxa" w:w="100"/>
            </w:tcMar>
          </w:tcPr>
          <w:p>
            <w:r>
              <w:t xml:space="preserve">Signature + timestamp on submit; lock on completion</w:t>
            </w:r>
          </w:p>
        </w:tc>
        <w:tc>
          <w:tcPr>
            <w:tcW w:type="dxa" w:w="1200"/>
            <w:shd w:fill="E8ECEF" w:color="auto" w:val="clear"/>
            <w:tcMar>
              <w:top w:type="dxa" w:w="50"/>
              <w:left w:type="dxa" w:w="100"/>
              <w:bottom w:type="dxa" w:w="50"/>
              <w:right w:type="dxa" w:w="100"/>
            </w:tcMar>
          </w:tcPr>
          <w:p>
            <w:r>
              <w:t xml:space="preserve">Must</w:t>
            </w:r>
          </w:p>
        </w:tc>
      </w:tr>
      <w:tr>
        <w:tc>
          <w:tcPr>
            <w:tcW w:type="dxa" w:w="1100"/>
            <w:tcMar>
              <w:top w:type="dxa" w:w="50"/>
              <w:left w:type="dxa" w:w="100"/>
              <w:bottom w:type="dxa" w:w="50"/>
              <w:right w:type="dxa" w:w="100"/>
            </w:tcMar>
          </w:tcPr>
          <w:p>
            <w:r>
              <w:t xml:space="preserve">FR-16..18</w:t>
            </w:r>
          </w:p>
        </w:tc>
        <w:tc>
          <w:tcPr>
            <w:tcW w:type="dxa" w:w="6740"/>
            <w:tcMar>
              <w:top w:type="dxa" w:w="50"/>
              <w:left w:type="dxa" w:w="100"/>
              <w:bottom w:type="dxa" w:w="50"/>
              <w:right w:type="dxa" w:w="100"/>
            </w:tcMar>
          </w:tcPr>
          <w:p>
            <w:r>
              <w:t xml:space="preserve">Review workflow with outcome and mandatory return notes; multiple reviewers</w:t>
            </w:r>
          </w:p>
        </w:tc>
        <w:tc>
          <w:tcPr>
            <w:tcW w:type="dxa" w:w="1200"/>
            <w:tcMar>
              <w:top w:type="dxa" w:w="50"/>
              <w:left w:type="dxa" w:w="100"/>
              <w:bottom w:type="dxa" w:w="50"/>
              <w:right w:type="dxa" w:w="100"/>
            </w:tcMar>
          </w:tcPr>
          <w:p>
            <w:r>
              <w:t xml:space="preserve">Must</w:t>
            </w:r>
          </w:p>
        </w:tc>
      </w:tr>
      <w:tr>
        <w:tc>
          <w:tcPr>
            <w:tcW w:type="dxa" w:w="1100"/>
            <w:shd w:fill="E8ECEF" w:color="auto" w:val="clear"/>
            <w:tcMar>
              <w:top w:type="dxa" w:w="50"/>
              <w:left w:type="dxa" w:w="100"/>
              <w:bottom w:type="dxa" w:w="50"/>
              <w:right w:type="dxa" w:w="100"/>
            </w:tcMar>
          </w:tcPr>
          <w:p>
            <w:r>
              <w:t xml:space="preserve">FR-19..21</w:t>
            </w:r>
          </w:p>
        </w:tc>
        <w:tc>
          <w:tcPr>
            <w:tcW w:type="dxa" w:w="6740"/>
            <w:shd w:fill="E8ECEF" w:color="auto" w:val="clear"/>
            <w:tcMar>
              <w:top w:type="dxa" w:w="50"/>
              <w:left w:type="dxa" w:w="100"/>
              <w:bottom w:type="dxa" w:w="50"/>
              <w:right w:type="dxa" w:w="100"/>
            </w:tcMar>
          </w:tcPr>
          <w:p>
            <w:r>
              <w:t xml:space="preserve">Automated reminders via background job + BCS with deep links and escalation</w:t>
            </w:r>
          </w:p>
        </w:tc>
        <w:tc>
          <w:tcPr>
            <w:tcW w:type="dxa" w:w="1200"/>
            <w:shd w:fill="E8ECEF" w:color="auto" w:val="clear"/>
            <w:tcMar>
              <w:top w:type="dxa" w:w="50"/>
              <w:left w:type="dxa" w:w="100"/>
              <w:bottom w:type="dxa" w:w="50"/>
              <w:right w:type="dxa" w:w="100"/>
            </w:tcMar>
          </w:tcPr>
          <w:p>
            <w:r>
              <w:t xml:space="preserve">Should</w:t>
            </w:r>
          </w:p>
        </w:tc>
      </w:tr>
      <w:tr>
        <w:tc>
          <w:tcPr>
            <w:tcW w:type="dxa" w:w="1100"/>
            <w:tcMar>
              <w:top w:type="dxa" w:w="50"/>
              <w:left w:type="dxa" w:w="100"/>
              <w:bottom w:type="dxa" w:w="50"/>
              <w:right w:type="dxa" w:w="100"/>
            </w:tcMar>
          </w:tcPr>
          <w:p>
            <w:r>
              <w:t xml:space="preserve">FR-22/23</w:t>
            </w:r>
          </w:p>
        </w:tc>
        <w:tc>
          <w:tcPr>
            <w:tcW w:type="dxa" w:w="6740"/>
            <w:tcMar>
              <w:top w:type="dxa" w:w="50"/>
              <w:left w:type="dxa" w:w="100"/>
              <w:bottom w:type="dxa" w:w="50"/>
              <w:right w:type="dxa" w:w="100"/>
            </w:tcMar>
          </w:tcPr>
          <w:p>
            <w:r>
              <w:t xml:space="preserve">Versioned question catalog; annual changes preserve history</w:t>
            </w:r>
          </w:p>
        </w:tc>
        <w:tc>
          <w:tcPr>
            <w:tcW w:type="dxa" w:w="1200"/>
            <w:tcMar>
              <w:top w:type="dxa" w:w="50"/>
              <w:left w:type="dxa" w:w="100"/>
              <w:bottom w:type="dxa" w:w="50"/>
              <w:right w:type="dxa" w:w="100"/>
            </w:tcMar>
          </w:tcPr>
          <w:p>
            <w:r>
              <w:t xml:space="preserve">Must</w:t>
            </w:r>
          </w:p>
        </w:tc>
      </w:tr>
      <w:tr>
        <w:tc>
          <w:tcPr>
            <w:tcW w:type="dxa" w:w="1100"/>
            <w:shd w:fill="E8ECEF" w:color="auto" w:val="clear"/>
            <w:tcMar>
              <w:top w:type="dxa" w:w="50"/>
              <w:left w:type="dxa" w:w="100"/>
              <w:bottom w:type="dxa" w:w="50"/>
              <w:right w:type="dxa" w:w="100"/>
            </w:tcMar>
          </w:tcPr>
          <w:p>
            <w:r>
              <w:t xml:space="preserve">FR-24..26</w:t>
            </w:r>
          </w:p>
        </w:tc>
        <w:tc>
          <w:tcPr>
            <w:tcW w:type="dxa" w:w="6740"/>
            <w:shd w:fill="E8ECEF" w:color="auto" w:val="clear"/>
            <w:tcMar>
              <w:top w:type="dxa" w:w="50"/>
              <w:left w:type="dxa" w:w="100"/>
              <w:bottom w:type="dxa" w:w="50"/>
              <w:right w:type="dxa" w:w="100"/>
            </w:tcMar>
          </w:tcPr>
          <w:p>
            <w:r>
              <w:t xml:space="preserve">AI advisory triage; strictly non-authoritative</w:t>
            </w:r>
          </w:p>
        </w:tc>
        <w:tc>
          <w:tcPr>
            <w:tcW w:type="dxa" w:w="1200"/>
            <w:shd w:fill="E8ECEF" w:color="auto" w:val="clear"/>
            <w:tcMar>
              <w:top w:type="dxa" w:w="50"/>
              <w:left w:type="dxa" w:w="100"/>
              <w:bottom w:type="dxa" w:w="50"/>
              <w:right w:type="dxa" w:w="100"/>
            </w:tcMar>
          </w:tcPr>
          <w:p>
            <w:r>
              <w:t xml:space="preserve">Should</w:t>
            </w:r>
          </w:p>
        </w:tc>
      </w:tr>
      <w:tr>
        <w:tc>
          <w:tcPr>
            <w:tcW w:type="dxa" w:w="1100"/>
            <w:tcMar>
              <w:top w:type="dxa" w:w="50"/>
              <w:left w:type="dxa" w:w="100"/>
              <w:bottom w:type="dxa" w:w="50"/>
              <w:right w:type="dxa" w:w="100"/>
            </w:tcMar>
          </w:tcPr>
          <w:p>
            <w:r>
              <w:t xml:space="preserve">FR-27/28</w:t>
            </w:r>
          </w:p>
        </w:tc>
        <w:tc>
          <w:tcPr>
            <w:tcW w:type="dxa" w:w="6740"/>
            <w:tcMar>
              <w:top w:type="dxa" w:w="50"/>
              <w:left w:type="dxa" w:w="100"/>
              <w:bottom w:type="dxa" w:w="50"/>
              <w:right w:type="dxa" w:w="100"/>
            </w:tcMar>
          </w:tcPr>
          <w:p>
            <w:r>
              <w:t xml:space="preserve">Change-document audit trail; one-action evidence export bundle</w:t>
            </w:r>
          </w:p>
        </w:tc>
        <w:tc>
          <w:tcPr>
            <w:tcW w:type="dxa" w:w="1200"/>
            <w:tcMar>
              <w:top w:type="dxa" w:w="50"/>
              <w:left w:type="dxa" w:w="100"/>
              <w:bottom w:type="dxa" w:w="50"/>
              <w:right w:type="dxa" w:w="100"/>
            </w:tcMar>
          </w:tcPr>
          <w:p>
            <w:r>
              <w:t xml:space="preserve">Must</w:t>
            </w:r>
          </w:p>
        </w:tc>
      </w:tr>
    </w:tbl>
    <w:p>
      <w:pPr>
        <w:pStyle w:val="Heading1"/>
        <w:spacing w:after="160" w:before="320"/>
      </w:pPr>
      <w:r>
        <w:rPr>
          <w:b/>
          <w:bCs/>
          <w:color w:val="6E1414"/>
        </w:rPr>
        <w:t xml:space="preserve">7. Experience Principles</w:t>
      </w:r>
    </w:p>
    <w:p>
      <w:pPr>
        <w:pStyle w:val="ListParagraph"/>
        <w:numPr>
          <w:ilvl w:val="0"/>
          <w:numId w:val="2"/>
        </w:numPr>
        <w:spacing w:after="60" w:line="264"/>
      </w:pPr>
      <w:r>
        <w:rPr>
          <w:b/>
          <w:bCs/>
        </w:rPr>
        <w:t xml:space="preserve">Tell me what's missing — </w:t>
      </w:r>
      <w:r>
        <w:t xml:space="preserve">validation feedback is specific and itemized, never a generic "form incomplete."</w:t>
      </w:r>
    </w:p>
    <w:p>
      <w:pPr>
        <w:pStyle w:val="ListParagraph"/>
        <w:numPr>
          <w:ilvl w:val="0"/>
          <w:numId w:val="2"/>
        </w:numPr>
        <w:spacing w:after="60" w:line="264"/>
      </w:pPr>
      <w:r>
        <w:rPr>
          <w:b/>
          <w:bCs/>
        </w:rPr>
        <w:t xml:space="preserve">Familiar semantics — </w:t>
      </w:r>
      <w:r>
        <w:t xml:space="preserve">the green/yellow/comment field language analysts already know is carried into the UI.</w:t>
      </w:r>
    </w:p>
    <w:p>
      <w:pPr>
        <w:pStyle w:val="ListParagraph"/>
        <w:numPr>
          <w:ilvl w:val="0"/>
          <w:numId w:val="2"/>
        </w:numPr>
        <w:spacing w:after="60" w:line="264"/>
      </w:pPr>
      <w:r>
        <w:rPr>
          <w:b/>
          <w:bCs/>
        </w:rPr>
        <w:t xml:space="preserve">No lost work — </w:t>
      </w:r>
      <w:r>
        <w:t xml:space="preserve">draft state persists; a checklist can be completed in several sittings.</w:t>
      </w:r>
    </w:p>
    <w:p>
      <w:pPr>
        <w:pStyle w:val="ListParagraph"/>
        <w:numPr>
          <w:ilvl w:val="0"/>
          <w:numId w:val="2"/>
        </w:numPr>
        <w:spacing w:after="60" w:line="264"/>
      </w:pPr>
      <w:r>
        <w:rPr>
          <w:b/>
          <w:bCs/>
        </w:rPr>
        <w:t xml:space="preserve">Human owns the decision — </w:t>
      </w:r>
      <w:r>
        <w:t xml:space="preserve">AI flags inform but never gate; reviewers decide.</w:t>
      </w:r>
    </w:p>
    <w:p>
      <w:pPr>
        <w:pStyle w:val="Heading1"/>
        <w:spacing w:after="160" w:before="320"/>
      </w:pPr>
      <w:r>
        <w:rPr>
          <w:b/>
          <w:bCs/>
          <w:color w:val="6E1414"/>
        </w:rPr>
        <w:t xml:space="preserve">8. Release Plan</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1800"/>
        <w:gridCol w:w="5240"/>
        <w:gridCol w:w="2000"/>
      </w:tblGrid>
      <w:tr>
        <w:trPr>
          <w:tblHeader/>
        </w:trPr>
        <w:tc>
          <w:tcPr>
            <w:tcW w:type="dxa" w:w="1800"/>
            <w:shd w:fill="6E1414" w:color="auto" w:val="clear"/>
            <w:tcMar>
              <w:top w:type="dxa" w:w="60"/>
              <w:left w:type="dxa" w:w="100"/>
              <w:bottom w:type="dxa" w:w="60"/>
              <w:right w:type="dxa" w:w="100"/>
            </w:tcMar>
          </w:tcPr>
          <w:p>
            <w:r>
              <w:rPr>
                <w:b/>
                <w:bCs/>
                <w:color w:val="FFFFFF"/>
              </w:rPr>
              <w:t xml:space="preserve">Phase</w:t>
            </w:r>
          </w:p>
        </w:tc>
        <w:tc>
          <w:tcPr>
            <w:tcW w:type="dxa" w:w="5240"/>
            <w:shd w:fill="6E1414" w:color="auto" w:val="clear"/>
            <w:tcMar>
              <w:top w:type="dxa" w:w="60"/>
              <w:left w:type="dxa" w:w="100"/>
              <w:bottom w:type="dxa" w:w="60"/>
              <w:right w:type="dxa" w:w="100"/>
            </w:tcMar>
          </w:tcPr>
          <w:p>
            <w:r>
              <w:rPr>
                <w:b/>
                <w:bCs/>
                <w:color w:val="FFFFFF"/>
              </w:rPr>
              <w:t xml:space="preserve">Contents</w:t>
            </w:r>
          </w:p>
        </w:tc>
        <w:tc>
          <w:tcPr>
            <w:tcW w:type="dxa" w:w="2000"/>
            <w:shd w:fill="6E1414" w:color="auto" w:val="clear"/>
            <w:tcMar>
              <w:top w:type="dxa" w:w="60"/>
              <w:left w:type="dxa" w:w="100"/>
              <w:bottom w:type="dxa" w:w="60"/>
              <w:right w:type="dxa" w:w="100"/>
            </w:tcMar>
          </w:tcPr>
          <w:p>
            <w:r>
              <w:rPr>
                <w:b/>
                <w:bCs/>
                <w:color w:val="FFFFFF"/>
              </w:rPr>
              <w:t xml:space="preserve">Outcome</w:t>
            </w:r>
          </w:p>
        </w:tc>
      </w:tr>
      <w:tr>
        <w:tc>
          <w:tcPr>
            <w:tcW w:type="dxa" w:w="1800"/>
            <w:tcMar>
              <w:top w:type="dxa" w:w="50"/>
              <w:left w:type="dxa" w:w="100"/>
              <w:bottom w:type="dxa" w:w="50"/>
              <w:right w:type="dxa" w:w="100"/>
            </w:tcMar>
          </w:tcPr>
          <w:p>
            <w:r>
              <w:t xml:space="preserve">Prototype (this)</w:t>
            </w:r>
          </w:p>
        </w:tc>
        <w:tc>
          <w:tcPr>
            <w:tcW w:type="dxa" w:w="5240"/>
            <w:tcMar>
              <w:top w:type="dxa" w:w="50"/>
              <w:left w:type="dxa" w:w="100"/>
              <w:bottom w:type="dxa" w:w="50"/>
              <w:right w:type="dxa" w:w="100"/>
            </w:tcMar>
          </w:tcPr>
          <w:p>
            <w:r>
              <w:t xml:space="preserve">Data model, four checklist types, validation, auth, signature, attachments (XSTRING), audit trail</w:t>
            </w:r>
          </w:p>
        </w:tc>
        <w:tc>
          <w:tcPr>
            <w:tcW w:type="dxa" w:w="2000"/>
            <w:tcMar>
              <w:top w:type="dxa" w:w="50"/>
              <w:left w:type="dxa" w:w="100"/>
              <w:bottom w:type="dxa" w:w="50"/>
              <w:right w:type="dxa" w:w="100"/>
            </w:tcMar>
          </w:tcPr>
          <w:p>
            <w:r>
              <w:t xml:space="preserve">Demonstrable end-to-end workflow for approval</w:t>
            </w:r>
          </w:p>
        </w:tc>
      </w:tr>
      <w:tr>
        <w:tc>
          <w:tcPr>
            <w:tcW w:type="dxa" w:w="1800"/>
            <w:shd w:fill="E8ECEF" w:color="auto" w:val="clear"/>
            <w:tcMar>
              <w:top w:type="dxa" w:w="50"/>
              <w:left w:type="dxa" w:w="100"/>
              <w:bottom w:type="dxa" w:w="50"/>
              <w:right w:type="dxa" w:w="100"/>
            </w:tcMar>
          </w:tcPr>
          <w:p>
            <w:r>
              <w:t xml:space="preserve">Production P1</w:t>
            </w:r>
          </w:p>
        </w:tc>
        <w:tc>
          <w:tcPr>
            <w:tcW w:type="dxa" w:w="5240"/>
            <w:shd w:fill="E8ECEF" w:color="auto" w:val="clear"/>
            <w:tcMar>
              <w:top w:type="dxa" w:w="50"/>
              <w:left w:type="dxa" w:w="100"/>
              <w:bottom w:type="dxa" w:w="50"/>
              <w:right w:type="dxa" w:w="100"/>
            </w:tcMar>
          </w:tcPr>
          <w:p>
            <w:r>
              <w:t xml:space="preserve">Harden security/roles, reminders + BCS, reviewer workflow, evidence export</w:t>
            </w:r>
          </w:p>
        </w:tc>
        <w:tc>
          <w:tcPr>
            <w:tcW w:type="dxa" w:w="2000"/>
            <w:shd w:fill="E8ECEF" w:color="auto" w:val="clear"/>
            <w:tcMar>
              <w:top w:type="dxa" w:w="50"/>
              <w:left w:type="dxa" w:w="100"/>
              <w:bottom w:type="dxa" w:w="50"/>
              <w:right w:type="dxa" w:w="100"/>
            </w:tcMar>
          </w:tcPr>
          <w:p>
            <w:r>
              <w:t xml:space="preserve">Operational rollout for a pilot cycle</w:t>
            </w:r>
          </w:p>
        </w:tc>
      </w:tr>
      <w:tr>
        <w:tc>
          <w:tcPr>
            <w:tcW w:type="dxa" w:w="1800"/>
            <w:tcMar>
              <w:top w:type="dxa" w:w="50"/>
              <w:left w:type="dxa" w:w="100"/>
              <w:bottom w:type="dxa" w:w="50"/>
              <w:right w:type="dxa" w:w="100"/>
            </w:tcMar>
          </w:tcPr>
          <w:p>
            <w:r>
              <w:t xml:space="preserve">Production P2</w:t>
            </w:r>
          </w:p>
        </w:tc>
        <w:tc>
          <w:tcPr>
            <w:tcW w:type="dxa" w:w="5240"/>
            <w:tcMar>
              <w:top w:type="dxa" w:w="50"/>
              <w:left w:type="dxa" w:w="100"/>
              <w:bottom w:type="dxa" w:w="50"/>
              <w:right w:type="dxa" w:w="100"/>
            </w:tcMar>
          </w:tcPr>
          <w:p>
            <w:r>
              <w:t xml:space="preserve">AI triage tuning, ArchiveLink migration (if feasible), external export automation</w:t>
            </w:r>
          </w:p>
        </w:tc>
        <w:tc>
          <w:tcPr>
            <w:tcW w:type="dxa" w:w="2000"/>
            <w:tcMar>
              <w:top w:type="dxa" w:w="50"/>
              <w:left w:type="dxa" w:w="100"/>
              <w:bottom w:type="dxa" w:w="50"/>
              <w:right w:type="dxa" w:w="100"/>
            </w:tcMar>
          </w:tcPr>
          <w:p>
            <w:r>
              <w:t xml:space="preserve">Full audit-grade platform</w:t>
            </w:r>
          </w:p>
        </w:tc>
      </w:tr>
    </w:tbl>
    <w:p>
      <w:pPr>
        <w:pStyle w:val="Heading1"/>
        <w:spacing w:after="160" w:before="320"/>
      </w:pPr>
      <w:r>
        <w:rPr>
          <w:b/>
          <w:bCs/>
          <w:color w:val="6E1414"/>
        </w:rPr>
        <w:t xml:space="preserve">9. Risks &amp; Dependencies</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4200"/>
        <w:gridCol w:w="4840"/>
      </w:tblGrid>
      <w:tr>
        <w:trPr>
          <w:tblHeader/>
        </w:trPr>
        <w:tc>
          <w:tcPr>
            <w:tcW w:type="dxa" w:w="4200"/>
            <w:shd w:fill="6E1414" w:color="auto" w:val="clear"/>
            <w:tcMar>
              <w:top w:type="dxa" w:w="60"/>
              <w:left w:type="dxa" w:w="100"/>
              <w:bottom w:type="dxa" w:w="60"/>
              <w:right w:type="dxa" w:w="100"/>
            </w:tcMar>
          </w:tcPr>
          <w:p>
            <w:r>
              <w:rPr>
                <w:b/>
                <w:bCs/>
                <w:color w:val="FFFFFF"/>
              </w:rPr>
              <w:t xml:space="preserve">Risk / Dependency</w:t>
            </w:r>
          </w:p>
        </w:tc>
        <w:tc>
          <w:tcPr>
            <w:tcW w:type="dxa" w:w="4840"/>
            <w:shd w:fill="6E1414" w:color="auto" w:val="clear"/>
            <w:tcMar>
              <w:top w:type="dxa" w:w="60"/>
              <w:left w:type="dxa" w:w="100"/>
              <w:bottom w:type="dxa" w:w="60"/>
              <w:right w:type="dxa" w:w="100"/>
            </w:tcMar>
          </w:tcPr>
          <w:p>
            <w:r>
              <w:rPr>
                <w:b/>
                <w:bCs/>
                <w:color w:val="FFFFFF"/>
              </w:rPr>
              <w:t xml:space="preserve">Mitigation</w:t>
            </w:r>
          </w:p>
        </w:tc>
      </w:tr>
      <w:tr>
        <w:tc>
          <w:tcPr>
            <w:tcW w:type="dxa" w:w="4200"/>
            <w:tcMar>
              <w:top w:type="dxa" w:w="50"/>
              <w:left w:type="dxa" w:w="100"/>
              <w:bottom w:type="dxa" w:w="50"/>
              <w:right w:type="dxa" w:w="100"/>
            </w:tcMar>
          </w:tcPr>
          <w:p>
            <w:r>
              <w:t xml:space="preserve">Attachment DB growth from XSTRING storage</w:t>
            </w:r>
          </w:p>
        </w:tc>
        <w:tc>
          <w:tcPr>
            <w:tcW w:type="dxa" w:w="4840"/>
            <w:tcMar>
              <w:top w:type="dxa" w:w="50"/>
              <w:left w:type="dxa" w:w="100"/>
              <w:bottom w:type="dxa" w:w="50"/>
              <w:right w:type="dxa" w:w="100"/>
            </w:tcMar>
          </w:tcPr>
          <w:p>
            <w:r>
              <w:t xml:space="preserve">Prototype-scoped; production ArchiveLink decision informed by sizing</w:t>
            </w:r>
          </w:p>
        </w:tc>
      </w:tr>
      <w:tr>
        <w:tc>
          <w:tcPr>
            <w:tcW w:type="dxa" w:w="4200"/>
            <w:shd w:fill="E8ECEF" w:color="auto" w:val="clear"/>
            <w:tcMar>
              <w:top w:type="dxa" w:w="50"/>
              <w:left w:type="dxa" w:w="100"/>
              <w:bottom w:type="dxa" w:w="50"/>
              <w:right w:type="dxa" w:w="100"/>
            </w:tcMar>
          </w:tcPr>
          <w:p>
            <w:r>
              <w:t xml:space="preserve">ArchiveLink/Content Server may not exist in landscape</w:t>
            </w:r>
          </w:p>
        </w:tc>
        <w:tc>
          <w:tcPr>
            <w:tcW w:type="dxa" w:w="4840"/>
            <w:shd w:fill="E8ECEF" w:color="auto" w:val="clear"/>
            <w:tcMar>
              <w:top w:type="dxa" w:w="50"/>
              <w:left w:type="dxa" w:w="100"/>
              <w:bottom w:type="dxa" w:w="50"/>
              <w:right w:type="dxa" w:w="100"/>
            </w:tcMar>
          </w:tcPr>
          <w:p>
            <w:r>
              <w:t xml:space="preserve">Storage isolated behind one persistence component; XSTRING+hash+metadata is audit-defensible fallback</w:t>
            </w:r>
          </w:p>
        </w:tc>
      </w:tr>
      <w:tr>
        <w:tc>
          <w:tcPr>
            <w:tcW w:type="dxa" w:w="4200"/>
            <w:tcMar>
              <w:top w:type="dxa" w:w="50"/>
              <w:left w:type="dxa" w:w="100"/>
              <w:bottom w:type="dxa" w:w="50"/>
              <w:right w:type="dxa" w:w="100"/>
            </w:tcMar>
          </w:tcPr>
          <w:p>
            <w:r>
              <w:t xml:space="preserve">LLM platform reachability from app server</w:t>
            </w:r>
          </w:p>
        </w:tc>
        <w:tc>
          <w:tcPr>
            <w:tcW w:type="dxa" w:w="4840"/>
            <w:tcMar>
              <w:top w:type="dxa" w:w="50"/>
              <w:left w:type="dxa" w:w="100"/>
              <w:bottom w:type="dxa" w:w="50"/>
              <w:right w:type="dxa" w:w="100"/>
            </w:tcMar>
          </w:tcPr>
          <w:p>
            <w:r>
              <w:t xml:space="preserve">Confirm SM59 destination + STRUST cert early with basis</w:t>
            </w:r>
          </w:p>
        </w:tc>
      </w:tr>
      <w:tr>
        <w:tc>
          <w:tcPr>
            <w:tcW w:type="dxa" w:w="4200"/>
            <w:shd w:fill="E8ECEF" w:color="auto" w:val="clear"/>
            <w:tcMar>
              <w:top w:type="dxa" w:w="50"/>
              <w:left w:type="dxa" w:w="100"/>
              <w:bottom w:type="dxa" w:w="50"/>
              <w:right w:type="dxa" w:w="100"/>
            </w:tcMar>
          </w:tcPr>
          <w:p>
            <w:r>
              <w:t xml:space="preserve">OneLMX migration timing/limitations</w:t>
            </w:r>
          </w:p>
        </w:tc>
        <w:tc>
          <w:tcPr>
            <w:tcW w:type="dxa" w:w="4840"/>
            <w:shd w:fill="E8ECEF" w:color="auto" w:val="clear"/>
            <w:tcMar>
              <w:top w:type="dxa" w:w="50"/>
              <w:left w:type="dxa" w:w="100"/>
              <w:bottom w:type="dxa" w:w="50"/>
              <w:right w:type="dxa" w:w="100"/>
            </w:tcMar>
          </w:tcPr>
          <w:p>
            <w:r>
              <w:t xml:space="preserve">App decoupled from OneLMX; serves as evidence system of record during transition</w:t>
            </w:r>
          </w:p>
        </w:tc>
      </w:tr>
      <w:tr>
        <w:tc>
          <w:tcPr>
            <w:tcW w:type="dxa" w:w="4200"/>
            <w:tcMar>
              <w:top w:type="dxa" w:w="50"/>
              <w:left w:type="dxa" w:w="100"/>
              <w:bottom w:type="dxa" w:w="50"/>
              <w:right w:type="dxa" w:w="100"/>
            </w:tcMar>
          </w:tcPr>
          <w:p>
            <w:r>
              <w:t xml:space="preserve">Scope creep from external-system integration</w:t>
            </w:r>
          </w:p>
        </w:tc>
        <w:tc>
          <w:tcPr>
            <w:tcW w:type="dxa" w:w="4840"/>
            <w:tcMar>
              <w:top w:type="dxa" w:w="50"/>
              <w:left w:type="dxa" w:w="100"/>
              <w:bottom w:type="dxa" w:w="50"/>
              <w:right w:type="dxa" w:w="100"/>
            </w:tcMar>
          </w:tcPr>
          <w:p>
            <w:r>
              <w:t xml:space="preserve">Manual evidence export in prototype; integration deferred to P2</w:t>
            </w:r>
          </w:p>
        </w:tc>
      </w:tr>
    </w:tbl>
    <w:p>
      <w:pPr>
        <w:pStyle w:val="Heading1"/>
        <w:spacing w:after="160" w:before="320"/>
      </w:pPr>
      <w:r>
        <w:rPr>
          <w:b/>
          <w:bCs/>
          <w:color w:val="6E1414"/>
        </w:rPr>
        <w:t xml:space="preserve">10. Open Questions</w:t>
      </w:r>
    </w:p>
    <w:p>
      <w:pPr>
        <w:pStyle w:val="ListParagraph"/>
        <w:numPr>
          <w:ilvl w:val="0"/>
          <w:numId w:val="2"/>
        </w:numPr>
        <w:spacing w:after="60" w:line="264"/>
      </w:pPr>
      <w:r>
        <w:t xml:space="preserve">Does the client landscape already run ArchiveLink / Content Server (settles production attachment strategy)?</w:t>
      </w:r>
    </w:p>
    <w:p>
      <w:pPr>
        <w:pStyle w:val="ListParagraph"/>
        <w:numPr>
          <w:ilvl w:val="0"/>
          <w:numId w:val="2"/>
        </w:numPr>
        <w:spacing w:after="60" w:line="264"/>
      </w:pPr>
      <w:r>
        <w:t xml:space="preserve">Do Canvas/Optro expose ingestion endpoints for a future programmatic evidence push?</w:t>
      </w:r>
    </w:p>
    <w:p>
      <w:pPr>
        <w:pStyle w:val="ListParagraph"/>
        <w:numPr>
          <w:ilvl w:val="0"/>
          <w:numId w:val="2"/>
        </w:numPr>
        <w:spacing w:after="60" w:line="264"/>
      </w:pPr>
      <w:r>
        <w:t xml:space="preserve">Expected attachment volume and average size per cycle (informs storage sizing)?</w:t>
      </w:r>
    </w:p>
    <w:p>
      <w:pPr>
        <w:pStyle w:val="ListParagraph"/>
        <w:numPr>
          <w:ilvl w:val="0"/>
          <w:numId w:val="2"/>
        </w:numPr>
        <w:spacing w:after="60" w:line="264"/>
      </w:pPr>
      <w:r>
        <w:t xml:space="preserve">Confirmed reminder cadence and escalation checkpoints per checklist type?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A4A5A"/>
        <w:sz w:val="16"/>
        <w:szCs w:val="16"/>
      </w:rPr>
      <w:t xml:space="preserve">Confidential — Draft v0.1     Page </w:t>
    </w:r>
    <w:r>
      <w:rPr>
        <w:color w:val="3A4A5A"/>
        <w:sz w:val="16"/>
        <w:szCs w:val="16"/>
      </w:rPr>
      <w:fldChar w:fldCharType="begin"/>
      <w:instrText xml:space="preserve">PAGE</w:instrText>
      <w:fldChar w:fldCharType="separate"/>
      <w:fldChar w:fldCharType="end"/>
    </w:r>
    <w:r>
      <w:rPr>
        <w:color w:val="3A4A5A"/>
        <w:sz w:val="16"/>
        <w:szCs w:val="16"/>
      </w:rPr>
      <w:t xml:space="preserve"> of </w:t>
    </w:r>
    <w:r>
      <w:rPr>
        <w:color w:val="3A4A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3A4A5A"/>
        <w:sz w:val="16"/>
        <w:szCs w:val="16"/>
      </w:rPr>
      <w:t xml:space="preserve">CSR Auditing Application —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6E1414"/>
      <w:sz w:val="32"/>
      <w:szCs w:val="32"/>
    </w:rPr>
  </w:style>
  <w:style w:type="paragraph" w:styleId="Heading2">
    <w:name w:val="Heading 2"/>
    <w:basedOn w:val="Normal"/>
    <w:next w:val="Normal"/>
    <w:qFormat/>
    <w:rPr>
      <w:rFonts w:ascii="Calibri" w:cs="Calibri" w:eastAsia="Calibri" w:hAnsi="Calibri"/>
      <w:b/>
      <w:bCs/>
      <w:color w:val="3A4A5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CSR Auditing Application — Product Requirements Document</dc:title>
  <dc:creator>CSR Project</dc:creator>
  <cp:lastModifiedBy>Un-named</cp:lastModifiedBy>
  <cp:revision>1</cp:revision>
  <dcterms:created xsi:type="dcterms:W3CDTF">2026-08-04T14:55:53.167Z</dcterms:created>
  <dcterms:modified xsi:type="dcterms:W3CDTF">2026-08-04T14:55:53.167Z</dcterms:modified>
</cp:coreProperties>
</file>

<file path=docProps/custom.xml><?xml version="1.0" encoding="utf-8"?>
<Properties xmlns="http://schemas.openxmlformats.org/officeDocument/2006/custom-properties" xmlns:vt="http://schemas.openxmlformats.org/officeDocument/2006/docPropsVTypes"/>
</file>