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sz w:val="40"/>
        </w:rPr>
        <w:t>Lesson 10 Demo</w:t>
      </w:r>
    </w:p>
    <w:p>
      <w:pPr>
        <w:spacing w:before="0" w:after="80"/>
      </w:pPr>
      <w:r>
        <w:rPr>
          <w:rFonts w:ascii="Arial" w:hAnsi="Arial"/>
          <w:i/>
          <w:color w:val="595959"/>
          <w:sz w:val="24"/>
        </w:rPr>
        <w:t>Production Deployment Walkthrough  --  ~9 minutes</w:t>
      </w:r>
    </w:p>
    <w:p>
      <w:pPr>
        <w:spacing w:after="200"/>
      </w:pPr>
      <w:r>
        <w:rPr>
          <w:rFonts w:ascii="Arial" w:hAnsi="Arial"/>
          <w:i/>
          <w:color w:val="595959"/>
          <w:sz w:val="18"/>
        </w:rPr>
        <w:t>Blue lines = screen actions.  Green boxes = tips.  Everything else = read aloud.</w:t>
      </w:r>
    </w:p>
    <w:p>
      <w:pPr>
        <w:spacing w:before="280" w:after="80"/>
        <w:pBdr>
          <w:bottom w:val="single" w:sz="4" w:space="1" w:color="AAAAAA"/>
        </w:pBdr>
      </w:pPr>
      <w:r>
        <w:rPr>
          <w:rFonts w:ascii="Arial" w:hAnsi="Arial"/>
          <w:b/>
          <w:sz w:val="28"/>
        </w:rPr>
        <w:t>1. Architecture</w:t>
      </w:r>
    </w:p>
    <w:p>
      <w:pPr>
        <w:spacing w:before="100" w:after="60"/>
      </w:pPr>
      <w:r>
        <w:rPr>
          <w:rFonts w:ascii="Arial" w:hAnsi="Arial"/>
          <w:i/>
          <w:color w:val="1F4E79"/>
          <w:sz w:val="20"/>
        </w:rPr>
        <w:t>Open architecture.svg in the browser.</w:t>
      </w:r>
    </w:p>
    <w:p>
      <w:pPr>
        <w:spacing w:before="80" w:after="80"/>
      </w:pPr>
      <w:r>
        <w:rPr>
          <w:rFonts w:ascii="Arial" w:hAnsi="Arial"/>
          <w:sz w:val="22"/>
        </w:rPr>
        <w:t>Welcome to Lesson 10. Everything we've built so far -- multi-agent coordination, RAG, guardrails -- has been running locally in a terminal. This lesson is about the step you take after that: going to production. We're going to plan, configure, and actually deploy a real multi-agent insurance claims system to Amazon Bedrock AgentCore Runtime, covering six things: runtime configuration, agent definitions, deployment pipeline, monitoring strategy, cost estimation, and the real API call that creates the runtime.</w:t>
      </w:r>
    </w:p>
    <w:p>
      <w:pPr>
        <w:spacing w:before="80" w:after="80"/>
      </w:pPr>
      <w:r>
        <w:rPr>
          <w:rFonts w:ascii="Arial" w:hAnsi="Arial"/>
          <w:sz w:val="22"/>
        </w:rPr>
        <w:t>The first five sections define and print the configs you'd review in a pre-deployment checklist meeting. Then Step 6 makes the real create_agent_runtime API call. Along the way we'll see three SDK compatibility workarounds that the current version of the AgentCore boto3 client requires -- the same workarounds you'll apply in your capstone project.</w:t>
      </w:r>
    </w:p>
    <w:p>
      <w:pPr>
        <w:spacing w:before="100" w:after="60"/>
      </w:pPr>
      <w:r>
        <w:rPr>
          <w:rFonts w:ascii="Arial" w:hAnsi="Arial"/>
          <w:i/>
          <w:color w:val="1F4E79"/>
          <w:sz w:val="20"/>
        </w:rPr>
        <w:t>Point at the architecture diagram showing the 5 layers.</w:t>
      </w:r>
    </w:p>
    <w:p>
      <w:pPr>
        <w:spacing w:before="80" w:after="80"/>
      </w:pPr>
      <w:r>
        <w:rPr>
          <w:rFonts w:ascii="Arial" w:hAnsi="Arial"/>
          <w:sz w:val="22"/>
        </w:rPr>
        <w:t>The architecture has five layers from top to bottom. Requests come in through API Gateway, hit the AgentCore Runtime, which hosts three agents -- a router, an analyzer, and a responder. The runtime is backed by DynamoDB for state, a Bedrock Knowledge Base for policy docs, and CloudWatch plus X-Ray for observability. Every layer has a configuration decision attached to it. That's what this lesson is about.</w:t>
      </w:r>
    </w:p>
    <w:p>
      <w:pPr>
        <w:spacing w:before="280" w:after="80"/>
        <w:pBdr>
          <w:bottom w:val="single" w:sz="4" w:space="1" w:color="AAAAAA"/>
        </w:pBdr>
      </w:pPr>
      <w:r>
        <w:rPr>
          <w:rFonts w:ascii="Arial" w:hAnsi="Arial"/>
          <w:b/>
          <w:sz w:val="28"/>
        </w:rPr>
        <w:t>2. Code Walkthrough</w:t>
      </w:r>
    </w:p>
    <w:p>
      <w:pPr>
        <w:spacing w:before="100" w:after="60"/>
      </w:pPr>
      <w:r>
        <w:rPr>
          <w:rFonts w:ascii="Arial" w:hAnsi="Arial"/>
          <w:i/>
          <w:color w:val="1F4E79"/>
          <w:sz w:val="20"/>
        </w:rPr>
        <w:t>Switch to VS Code. Open deployment_walkthrough.py. Scroll to RUNTIME_CONFIG.</w:t>
      </w:r>
    </w:p>
    <w:p>
      <w:pPr>
        <w:spacing w:before="80" w:after="80"/>
      </w:pPr>
      <w:r>
        <w:rPr>
          <w:rFonts w:ascii="Arial" w:hAnsi="Arial"/>
          <w:sz w:val="22"/>
        </w:rPr>
        <w:t>The first config block is RUNTIME_CONFIG. This is what gets passed to bedrock-agentcore-control create-agent-runtime -- the production comment at the top shows the exact boto3 call. Four fields matter most.</w:t>
      </w:r>
    </w:p>
    <w:p>
      <w:pPr>
        <w:spacing w:before="100" w:after="60"/>
      </w:pPr>
      <w:r>
        <w:rPr>
          <w:rFonts w:ascii="Arial" w:hAnsi="Arial"/>
          <w:i/>
          <w:color w:val="1F4E79"/>
          <w:sz w:val="20"/>
        </w:rPr>
        <w:t>Point at networkConfiguration.</w:t>
      </w:r>
    </w:p>
    <w:p>
      <w:pPr>
        <w:spacing w:before="80" w:after="80"/>
      </w:pPr>
      <w:r>
        <w:rPr>
          <w:rFonts w:ascii="Arial" w:hAnsi="Arial"/>
          <w:sz w:val="22"/>
        </w:rPr>
        <w:t>networkMode is PUBLIC here -- this is an internet-facing insurance portal. The commented-out block below it shows the VPC alternative, which you'd use for internal agents that should never be reachable from the internet. The exercise uses VPC mode for VectraBank because financial services agents must be internal only.</w:t>
      </w:r>
    </w:p>
    <w:p>
      <w:pPr>
        <w:spacing w:before="100" w:after="60"/>
      </w:pPr>
      <w:r>
        <w:rPr>
          <w:rFonts w:ascii="Arial" w:hAnsi="Arial"/>
          <w:i/>
          <w:color w:val="1F4E79"/>
          <w:sz w:val="20"/>
        </w:rPr>
        <w:t>Point at protocolConfiguration.</w:t>
      </w:r>
    </w:p>
    <w:p>
      <w:pPr>
        <w:spacing w:before="80" w:after="80"/>
      </w:pPr>
      <w:r>
        <w:rPr>
          <w:rFonts w:ascii="Arial" w:hAnsi="Arial"/>
          <w:sz w:val="22"/>
        </w:rPr>
        <w:t>serverProtocol is MCP -- Model Context Protocol. This is how agents communicate with tools in the AgentCore Runtime. MCP is the standard protocol for tool communication in production Bedrock deployments.</w:t>
      </w:r>
    </w:p>
    <w:p>
      <w:pPr>
        <w:spacing w:before="100" w:after="60"/>
      </w:pPr>
      <w:r>
        <w:rPr>
          <w:rFonts w:ascii="Arial" w:hAnsi="Arial"/>
          <w:i/>
          <w:color w:val="1F4E79"/>
          <w:sz w:val="20"/>
        </w:rPr>
        <w:t>Point at guardrailConfiguration. Note the comment about the event hook.</w:t>
      </w:r>
    </w:p>
    <w:p>
      <w:pPr>
        <w:spacing w:before="80" w:after="80"/>
      </w:pPr>
      <w:r>
        <w:rPr>
          <w:rFonts w:ascii="Arial" w:hAnsi="Arial"/>
          <w:sz w:val="22"/>
        </w:rPr>
        <w:t>The guardrail is attached at the runtime level -- not inside any individual agent. This means every agent running in this runtime automatically gets the same guardrail applied. Notice the comment here: 'injected via before-call event hook'. This is Workaround 1 -- the current AgentCore SDK doesn't include guardrailConfiguration in its input shape, so we inject it via a boto3 event hook at call time. More on that in Step 6.</w:t>
      </w:r>
    </w:p>
    <w:p>
      <w:pPr>
        <w:spacing w:before="100" w:after="60"/>
      </w:pPr>
      <w:r>
        <w:rPr>
          <w:rFonts w:ascii="Arial" w:hAnsi="Arial"/>
          <w:i/>
          <w:color w:val="1F4E79"/>
          <w:sz w:val="20"/>
        </w:rPr>
        <w:t>Point at environmentVariables.</w:t>
      </w:r>
    </w:p>
    <w:p>
      <w:pPr>
        <w:spacing w:before="80" w:after="80"/>
      </w:pPr>
      <w:r>
        <w:rPr>
          <w:rFonts w:ascii="Arial" w:hAnsi="Arial"/>
          <w:sz w:val="22"/>
        </w:rPr>
        <w:t>The environment variables block is critical. CLAIMS_KB_ID, POLICY_KB_ID, STATE_TABLE_NAME -- none of these are hardcoded inside agent code. They're injected at runtime. The same agent code deploys to dev, staging, and production just by changing these values.</w:t>
      </w:r>
    </w:p>
    <w:p>
      <w:pPr>
        <w:spacing w:before="120" w:after="120"/>
        <w:ind w:left="144" w:right="144"/>
        <w:shd w:val="clear" w:color="auto" w:fill="E2EFDA"/>
      </w:pPr>
      <w:r>
        <w:rPr>
          <w:rFonts w:ascii="Arial" w:hAnsi="Arial"/>
          <w:b/>
          <w:color w:val="375623"/>
          <w:sz w:val="20"/>
        </w:rPr>
        <w:t xml:space="preserve">TIP: </w:t>
      </w:r>
      <w:r>
        <w:rPr>
          <w:rFonts w:ascii="Arial" w:hAnsi="Arial"/>
          <w:color w:val="375623"/>
          <w:sz w:val="20"/>
        </w:rPr>
        <w:t>Never hardcode resource IDs in agent code. Environment variables are how you make the same agent deployable to multiple environments without modification.</w:t>
      </w:r>
    </w:p>
    <w:p>
      <w:pPr>
        <w:spacing w:before="100" w:after="60"/>
      </w:pPr>
      <w:r>
        <w:rPr>
          <w:rFonts w:ascii="Arial" w:hAnsi="Arial"/>
          <w:i/>
          <w:color w:val="1F4E79"/>
          <w:sz w:val="20"/>
        </w:rPr>
        <w:t>Scroll to the deploy_to_agentcore function. This is Step 6 in the script.</w:t>
      </w:r>
    </w:p>
    <w:p>
      <w:pPr>
        <w:spacing w:before="80" w:after="80"/>
      </w:pPr>
      <w:r>
        <w:rPr>
          <w:rFonts w:ascii="Arial" w:hAnsi="Arial"/>
          <w:sz w:val="22"/>
        </w:rPr>
        <w:t>The deploy function implements three SDK workarounds required by the current version of the AgentCore boto3 client. Workaround 1: we use STS to confirm the account, then register a before-call event hook that patches the request params to inject guardrailConfiguration just before the HTTP call is made. Workaround 2: the API requires an agentRuntimeArtifact -- a zip file on S3 containing your agent code. We build a minimal placeholder zip in memory using io.BytesIO and zipfile, then upload it to S3. No local filesystem writes needed. Workaround 3: put_agent_runtime_logging_configuration may not exist in the installed botocore version, so we wrap it in try/except. These three workarounds are exactly what you'll apply in your capstone project.</w:t>
      </w:r>
    </w:p>
    <w:p>
      <w:pPr>
        <w:spacing w:before="100" w:after="60"/>
      </w:pPr>
      <w:r>
        <w:rPr>
          <w:rFonts w:ascii="Arial" w:hAnsi="Arial"/>
          <w:i/>
          <w:color w:val="1F4E79"/>
          <w:sz w:val="20"/>
        </w:rPr>
        <w:t>Scroll to AGENT_DEFINITIONS.</w:t>
      </w:r>
    </w:p>
    <w:p>
      <w:pPr>
        <w:spacing w:before="80" w:after="80"/>
      </w:pPr>
      <w:r>
        <w:rPr>
          <w:rFonts w:ascii="Arial" w:hAnsi="Arial"/>
          <w:sz w:val="22"/>
        </w:rPr>
        <w:t>Three agents are defined: ClaimsRouter, ClaimsAnalyzer, and ClaimsResponder. Notice the model choices. The router uses Nova Lite -- it just classifies and routes, so you want the fastest, cheapest model. The analyzer uses Claude Sonnet -- it does fraud detection and coverage analysis, so you need deeper reasoning. The responder uses Nova Pro -- it drafts customer-facing text, so you want better language quality than Lite but don't need Sonnet's full capability.</w:t>
      </w:r>
    </w:p>
    <w:p>
      <w:pPr>
        <w:spacing w:before="80" w:after="80"/>
      </w:pPr>
      <w:r>
        <w:rPr>
          <w:rFonts w:ascii="Arial" w:hAnsi="Arial"/>
          <w:sz w:val="22"/>
        </w:rPr>
        <w:t>The token and request estimates matter for cost. The router handles 10,000 requests per day at 500 tokens each. The analyzer only handles 3,000 per day -- about 30 percent of claims need deep analysis. These numbers feed directly into the cost estimation section.</w:t>
      </w:r>
    </w:p>
    <w:p>
      <w:pPr>
        <w:spacing w:before="100" w:after="60"/>
      </w:pPr>
      <w:r>
        <w:rPr>
          <w:rFonts w:ascii="Arial" w:hAnsi="Arial"/>
          <w:i/>
          <w:color w:val="1F4E79"/>
          <w:sz w:val="20"/>
        </w:rPr>
        <w:t>Scroll to DEPLOYMENT_PIPELINE.</w:t>
      </w:r>
    </w:p>
    <w:p>
      <w:pPr>
        <w:spacing w:before="80" w:after="80"/>
      </w:pPr>
      <w:r>
        <w:rPr>
          <w:rFonts w:ascii="Arial" w:hAnsi="Arial"/>
          <w:sz w:val="22"/>
        </w:rPr>
        <w:t>The deployment pipeline has 6 steps, each with a command and a gate. The gate is the condition that must be true before you move to the next step. Step 1: tests pass. Step 2: guardrail promoted from DRAFT. Step 3: runtime status is ACTIVE. Step 4: memory service healthy. Step 5: dashboard visible and logs flowing. Step 6: 10 smoke test claims processed with P99 latency under 5 seconds. If any gate fails, you stop and fix before proceeding.</w:t>
      </w:r>
    </w:p>
    <w:p>
      <w:pPr>
        <w:spacing w:before="100" w:after="60"/>
      </w:pPr>
      <w:r>
        <w:rPr>
          <w:rFonts w:ascii="Arial" w:hAnsi="Arial"/>
          <w:i/>
          <w:color w:val="1F4E79"/>
          <w:sz w:val="20"/>
        </w:rPr>
        <w:t>Scroll to MONITORING_STRATEGY.</w:t>
      </w:r>
    </w:p>
    <w:p>
      <w:pPr>
        <w:spacing w:before="80" w:after="80"/>
      </w:pPr>
      <w:r>
        <w:rPr>
          <w:rFonts w:ascii="Arial" w:hAnsi="Arial"/>
          <w:sz w:val="22"/>
        </w:rPr>
        <w:t>The monitoring strategy has three parts: a CloudWatch dashboard with 4 widgets, 2 alarms, and X-Ray tracing. The dashboard widgets cover invocations, latency at P50 and P99, error rate with a 5 percent threshold, and guardrail blocks broken out by policy type. The two alarms are high error rate -- which routes through SNS to a Lambda that disables the runtime -- and high latency at P99 above 10 seconds, which pages the ops team. X-Ray is enabled at 5 percent sampling with annotations for claim type, agent name, and model ID so you can slice traces by any of those dimensions.</w:t>
      </w:r>
    </w:p>
    <w:p>
      <w:pPr>
        <w:spacing w:before="280" w:after="80"/>
        <w:pBdr>
          <w:bottom w:val="single" w:sz="4" w:space="1" w:color="AAAAAA"/>
        </w:pBdr>
      </w:pPr>
      <w:r>
        <w:rPr>
          <w:rFonts w:ascii="Arial" w:hAnsi="Arial"/>
          <w:b/>
          <w:sz w:val="28"/>
        </w:rPr>
        <w:t>3. Run &amp; Results</w:t>
      </w:r>
    </w:p>
    <w:p>
      <w:pPr>
        <w:spacing w:before="100" w:after="60"/>
      </w:pPr>
      <w:r>
        <w:rPr>
          <w:rFonts w:ascii="Arial" w:hAnsi="Arial"/>
          <w:i/>
          <w:color w:val="1F4E79"/>
          <w:sz w:val="20"/>
        </w:rPr>
        <w:t>Switch to terminal. Run: python deployment_walkthrough.py</w:t>
      </w:r>
    </w:p>
    <w:p>
      <w:pPr>
        <w:spacing w:before="80" w:after="80"/>
      </w:pPr>
      <w:r>
        <w:rPr>
          <w:rFonts w:ascii="Arial" w:hAnsi="Arial"/>
          <w:sz w:val="22"/>
        </w:rPr>
        <w:t>The script prints each config block in sequence, then makes the real AgentCore API call at the end.</w:t>
      </w:r>
    </w:p>
    <w:p>
      <w:pPr>
        <w:spacing w:before="100" w:after="60"/>
      </w:pPr>
      <w:r>
        <w:rPr>
          <w:rFonts w:ascii="Arial" w:hAnsi="Arial"/>
          <w:i/>
          <w:color w:val="1F4E79"/>
          <w:sz w:val="20"/>
        </w:rPr>
        <w:t>Point at Section 1 -- Runtime Configuration.</w:t>
      </w:r>
    </w:p>
    <w:p>
      <w:pPr>
        <w:spacing w:before="80" w:after="80"/>
      </w:pPr>
      <w:r>
        <w:rPr>
          <w:rFonts w:ascii="Arial" w:hAnsi="Arial"/>
          <w:sz w:val="22"/>
        </w:rPr>
        <w:t>Runtime name, PUBLIC network mode, MCP protocol, the guardrail ID and version from the .env file, and all five environment variables. One look and you can verify the right KB IDs are wired up and the environment is set to production.</w:t>
      </w:r>
    </w:p>
    <w:p>
      <w:pPr>
        <w:spacing w:before="100" w:after="60"/>
      </w:pPr>
      <w:r>
        <w:rPr>
          <w:rFonts w:ascii="Arial" w:hAnsi="Arial"/>
          <w:i/>
          <w:color w:val="1F4E79"/>
          <w:sz w:val="20"/>
        </w:rPr>
        <w:t>Point at Section 2 -- Agent Definitions.</w:t>
      </w:r>
    </w:p>
    <w:p>
      <w:pPr>
        <w:spacing w:before="80" w:after="80"/>
      </w:pPr>
      <w:r>
        <w:rPr>
          <w:rFonts w:ascii="Arial" w:hAnsi="Arial"/>
          <w:sz w:val="22"/>
        </w:rPr>
        <w:t>Three agents with their models, temperatures, tools, and estimated traffic. The temperature settings tell a story: router at 0.0 for deterministic routing, analyzer at 0.1 for consistent reasoning with slight variation, responder at 0.3 for more natural language output.</w:t>
      </w:r>
    </w:p>
    <w:p>
      <w:pPr>
        <w:spacing w:before="100" w:after="60"/>
      </w:pPr>
      <w:r>
        <w:rPr>
          <w:rFonts w:ascii="Arial" w:hAnsi="Arial"/>
          <w:i/>
          <w:color w:val="1F4E79"/>
          <w:sz w:val="20"/>
        </w:rPr>
        <w:t>Point at Section 3 -- Deployment Pipeline.</w:t>
      </w:r>
    </w:p>
    <w:p>
      <w:pPr>
        <w:spacing w:before="80" w:after="80"/>
      </w:pPr>
      <w:r>
        <w:rPr>
          <w:rFonts w:ascii="Arial" w:hAnsi="Arial"/>
          <w:sz w:val="22"/>
        </w:rPr>
        <w:t>The 6-step pipeline with commands and gates. You'd run through this checklist on every deployment. The gates are non-negotiable -- if the smoke test gate fails, you do not proceed to production traffic.</w:t>
      </w:r>
    </w:p>
    <w:p>
      <w:pPr>
        <w:spacing w:before="100" w:after="60"/>
      </w:pPr>
      <w:r>
        <w:rPr>
          <w:rFonts w:ascii="Arial" w:hAnsi="Arial"/>
          <w:i/>
          <w:color w:val="1F4E79"/>
          <w:sz w:val="20"/>
        </w:rPr>
        <w:t>Point at Section 4 -- Monitoring Strategy.</w:t>
      </w:r>
    </w:p>
    <w:p>
      <w:pPr>
        <w:spacing w:before="80" w:after="80"/>
      </w:pPr>
      <w:r>
        <w:rPr>
          <w:rFonts w:ascii="Arial" w:hAnsi="Arial"/>
          <w:sz w:val="22"/>
        </w:rPr>
        <w:t>Dashboard, alarms, X-Ray config. The HighErrorRate alarm action is the key line: SNS to a kill-switch-topic to a Lambda that disables the runtime. This is the automated circuit breaker -- no human in the loop required to take down a misbehaving agent.</w:t>
      </w:r>
    </w:p>
    <w:p>
      <w:pPr>
        <w:spacing w:before="100" w:after="60"/>
      </w:pPr>
      <w:r>
        <w:rPr>
          <w:rFonts w:ascii="Arial" w:hAnsi="Arial"/>
          <w:i/>
          <w:color w:val="1F4E79"/>
          <w:sz w:val="20"/>
        </w:rPr>
        <w:t>Point at Section 5 -- Monthly Cost Estimation.</w:t>
      </w:r>
    </w:p>
    <w:p>
      <w:pPr>
        <w:spacing w:before="80" w:after="80"/>
      </w:pPr>
      <w:r>
        <w:rPr>
          <w:rFonts w:ascii="Arial" w:hAnsi="Arial"/>
          <w:sz w:val="22"/>
        </w:rPr>
        <w:t>The cost table makes the model selection story concrete. ClaimsRouter costs $19.80 per month. ClaimsResponder on Nova Pro costs $528. ClaimsAnalyzer on Claude Sonnet costs $1,404 -- that's 70 percent of the total model spend for just 30 percent of daily requests. If you swapped the analyzer to Nova Pro, you'd pay around $317 instead and save over $1,000 per month. Total system cost is about $2,000 per month for 10,000 requests per day.</w:t>
      </w:r>
    </w:p>
    <w:p>
      <w:pPr>
        <w:spacing w:before="100" w:after="60"/>
      </w:pPr>
      <w:r>
        <w:rPr>
          <w:rFonts w:ascii="Arial" w:hAnsi="Arial"/>
          <w:i/>
          <w:color w:val="1F4E79"/>
          <w:sz w:val="20"/>
        </w:rPr>
        <w:t>Point at Section 6 -- Deploy to AgentCore Runtime.</w:t>
      </w:r>
    </w:p>
    <w:p>
      <w:pPr>
        <w:spacing w:before="80" w:after="80"/>
      </w:pPr>
      <w:r>
        <w:rPr>
          <w:rFonts w:ascii="Arial" w:hAnsi="Arial"/>
          <w:sz w:val="22"/>
        </w:rPr>
        <w:t>This is where the real API call happens. The script prints the three workaround steps as it goes. First: guardrail hook registered -- that's the before-call event registered on the bedrock-agentcore-control client. Second: deployment.zip uploaded to S3 -- the in-memory zip with a placeholder main.py. Third: create_agent_runtime called, and the runtime ARN comes back. If the logging configuration call works, you see observability configured. If it fails with an SDK mismatch error, the try/except catches it and prints a note. Either way, you have a live runtime ARN.</w:t>
      </w:r>
    </w:p>
    <w:p>
      <w:pPr>
        <w:spacing w:before="80" w:after="80"/>
      </w:pPr>
      <w:r>
        <w:rPr>
          <w:rFonts w:ascii="Arial" w:hAnsi="Arial"/>
          <w:sz w:val="22"/>
        </w:rPr>
        <w:t>That's the full production deployment walkthrough. Runtime config, deployment pipeline, monitoring strategy, cost estimation, and the real create_agent_runtime call -- plus the three SDK workarounds you'll need in your capstone. In the exercise you'll apply this same pattern to VectraBank with two additions: VPC network mode for financial compliance, and an operational runbook covering what to do when things go wrong.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