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sz w:val="40"/>
        </w:rPr>
        <w:t>Lesson 10 Exercise</w:t>
      </w:r>
    </w:p>
    <w:p>
      <w:pPr>
        <w:spacing w:before="0" w:after="80"/>
      </w:pPr>
      <w:r>
        <w:rPr>
          <w:rFonts w:ascii="Arial" w:hAnsi="Arial"/>
          <w:i/>
          <w:color w:val="595959"/>
          <w:sz w:val="24"/>
        </w:rPr>
        <w:t>VectraBank Deployment Architecture  --  ~8 minutes</w:t>
      </w:r>
    </w:p>
    <w:p>
      <w:pPr>
        <w:spacing w:after="200"/>
      </w:pPr>
      <w:r>
        <w:rPr>
          <w:rFonts w:ascii="Arial" w:hAnsi="Arial"/>
          <w:i/>
          <w:color w:val="595959"/>
          <w:sz w:val="18"/>
        </w:rPr>
        <w:t>Blue lines = screen actions.  Green boxes = tips.  Everything else = read aloud.</w:t>
      </w:r>
    </w:p>
    <w:p>
      <w:pPr>
        <w:spacing w:before="280" w:after="80"/>
        <w:pBdr>
          <w:bottom w:val="single" w:sz="4" w:space="1" w:color="AAAAAA"/>
        </w:pBdr>
      </w:pPr>
      <w:r>
        <w:rPr>
          <w:rFonts w:ascii="Arial" w:hAnsi="Arial"/>
          <w:b/>
          <w:sz w:val="28"/>
        </w:rPr>
        <w:t>1. Architecture</w:t>
      </w:r>
    </w:p>
    <w:p>
      <w:pPr>
        <w:spacing w:before="100" w:after="60"/>
      </w:pPr>
      <w:r>
        <w:rPr>
          <w:rFonts w:ascii="Arial" w:hAnsi="Arial"/>
          <w:i/>
          <w:color w:val="1F4E79"/>
          <w:sz w:val="20"/>
        </w:rPr>
        <w:t>Open architecture.svg in the browser.</w:t>
      </w:r>
    </w:p>
    <w:p>
      <w:pPr>
        <w:spacing w:before="80" w:after="80"/>
      </w:pPr>
      <w:r>
        <w:rPr>
          <w:rFonts w:ascii="Arial" w:hAnsi="Arial"/>
          <w:sz w:val="22"/>
        </w:rPr>
        <w:t>Welcome to the Lesson 10 exercise. Same pattern as the demo -- runtime config, monitoring, cost estimation, and a real create_agent_runtime call -- applied to VectraBank, the financial services system you'll build as your capstone project. The architecture is a multi-agent RAG system: a query router, two specialist retrievers hitting different knowledge bases, and a financial advisor synthesizer. Three additions on top of the demo.</w:t>
      </w:r>
    </w:p>
    <w:p>
      <w:pPr>
        <w:spacing w:before="100" w:after="60"/>
      </w:pPr>
      <w:r>
        <w:rPr>
          <w:rFonts w:ascii="Arial" w:hAnsi="Arial"/>
          <w:i/>
          <w:color w:val="1F4E79"/>
          <w:sz w:val="20"/>
        </w:rPr>
        <w:t>Point at the VPC network boundary around the runtime.</w:t>
      </w:r>
    </w:p>
    <w:p>
      <w:pPr>
        <w:spacing w:before="80" w:after="80"/>
      </w:pPr>
      <w:r>
        <w:rPr>
          <w:rFonts w:ascii="Arial" w:hAnsi="Arial"/>
          <w:sz w:val="22"/>
        </w:rPr>
        <w:t>Addition one: VPC network mode. The insurance demo used PUBLIC mode -- internet facing. VectraBank uses VPC mode -- internal only. Financial services agents must not be reachable from the internet. All traffic goes through private subnets with security groups. That's a compliance requirement, not a preference.</w:t>
      </w:r>
    </w:p>
    <w:p>
      <w:pPr>
        <w:spacing w:before="100" w:after="60"/>
      </w:pPr>
      <w:r>
        <w:rPr>
          <w:rFonts w:ascii="Arial" w:hAnsi="Arial"/>
          <w:i/>
          <w:color w:val="1F4E79"/>
          <w:sz w:val="20"/>
        </w:rPr>
        <w:t>Point at the Monitoring box showing 6 widgets.</w:t>
      </w:r>
    </w:p>
    <w:p>
      <w:pPr>
        <w:spacing w:before="80" w:after="80"/>
      </w:pPr>
      <w:r>
        <w:rPr>
          <w:rFonts w:ascii="Arial" w:hAnsi="Arial"/>
          <w:sz w:val="22"/>
        </w:rPr>
        <w:t>Addition two: expanded monitoring. The demo had 4 dashboard widgets and 2 alarms. VectraBank has 6 widgets and 3 alarms. The two new widgets are RAG Retrieval Quality -- tracking the average relevance score from the knowledge bases -- and Kill Switch Status, a live indicator showing whether the agent is enabled. The third alarm is a guardrail violation spike: 50 blocks in 5 minutes triggers a security team alert.</w:t>
      </w:r>
    </w:p>
    <w:p>
      <w:pPr>
        <w:spacing w:before="100" w:after="60"/>
      </w:pPr>
      <w:r>
        <w:rPr>
          <w:rFonts w:ascii="Arial" w:hAnsi="Arial"/>
          <w:i/>
          <w:color w:val="1F4E79"/>
          <w:sz w:val="20"/>
        </w:rPr>
        <w:t>Point at the Operational Runbook box at the bottom.</w:t>
      </w:r>
    </w:p>
    <w:p>
      <w:pPr>
        <w:spacing w:before="80" w:after="80"/>
      </w:pPr>
      <w:r>
        <w:rPr>
          <w:rFonts w:ascii="Arial" w:hAnsi="Arial"/>
          <w:sz w:val="22"/>
        </w:rPr>
        <w:t>Addition three: the operational runbook. This is new in the exercise. The demo showed you how to configure a system for production. The runbook shows you what to do when production breaks. Four procedures: deploy a new version, rollback to previous, respond to a kill switch trigger, and investigate a latency spike. Every production system needs these written down before go-live -- not after the first incident.</w:t>
      </w:r>
    </w:p>
    <w:p>
      <w:pPr>
        <w:spacing w:before="280" w:after="80"/>
        <w:pBdr>
          <w:bottom w:val="single" w:sz="4" w:space="1" w:color="AAAAAA"/>
        </w:pBdr>
      </w:pPr>
      <w:r>
        <w:rPr>
          <w:rFonts w:ascii="Arial" w:hAnsi="Arial"/>
          <w:b/>
          <w:sz w:val="28"/>
        </w:rPr>
        <w:t>2. Code Walkthrough</w:t>
      </w:r>
    </w:p>
    <w:p>
      <w:pPr>
        <w:spacing w:before="100" w:after="60"/>
      </w:pPr>
      <w:r>
        <w:rPr>
          <w:rFonts w:ascii="Arial" w:hAnsi="Arial"/>
          <w:i/>
          <w:color w:val="1F4E79"/>
          <w:sz w:val="20"/>
        </w:rPr>
        <w:t>Switch to VS Code. Open solution/vectrabank_architecture.py. Scroll to VECTRABANK_RUNTIME_CONFIG.</w:t>
      </w:r>
    </w:p>
    <w:p>
      <w:pPr>
        <w:spacing w:before="80" w:after="80"/>
      </w:pPr>
      <w:r>
        <w:rPr>
          <w:rFonts w:ascii="Arial" w:hAnsi="Arial"/>
          <w:sz w:val="22"/>
        </w:rPr>
        <w:t>The runtime config shows VPC mode. Network mode is VPC, with a vpcId, two private subnet IDs, and a security group. Three knowledge base IDs in environment variables -- MARKET_DATA_KB_ID, COMPLIANCE_KB_ID, and PRODUCTS_KB_ID -- plus a second DynamoDB table for the audit log. The audit log is a compliance requirement: every guardrail decision must be logged for SEC and FINRA review.</w:t>
      </w:r>
    </w:p>
    <w:p>
      <w:pPr>
        <w:spacing w:before="100" w:after="60"/>
      </w:pPr>
      <w:r>
        <w:rPr>
          <w:rFonts w:ascii="Arial" w:hAnsi="Arial"/>
          <w:i/>
          <w:color w:val="1F4E79"/>
          <w:sz w:val="20"/>
        </w:rPr>
        <w:t>Scroll to VECTRABANK_AGENTS.</w:t>
      </w:r>
    </w:p>
    <w:p>
      <w:pPr>
        <w:spacing w:before="80" w:after="80"/>
      </w:pPr>
      <w:r>
        <w:rPr>
          <w:rFonts w:ascii="Arial" w:hAnsi="Arial"/>
          <w:sz w:val="22"/>
        </w:rPr>
        <w:t>Four agents. QueryRouter, MarketDataRetriever, and ComplianceRetriever all use Nova Lite -- they're doing routing and retrieval, so speed and cost matter more than reasoning depth. FinancialAdvisor uses Claude Sonnet -- it synthesizes retrieved data into grounded financial analysis with citations. Every query goes through the advisor, so it handles 10,000 requests per day. That number drives the cost.</w:t>
      </w:r>
    </w:p>
    <w:p>
      <w:pPr>
        <w:spacing w:before="100" w:after="60"/>
      </w:pPr>
      <w:r>
        <w:rPr>
          <w:rFonts w:ascii="Arial" w:hAnsi="Arial"/>
          <w:i/>
          <w:color w:val="1F4E79"/>
          <w:sz w:val="20"/>
        </w:rPr>
        <w:t>Scroll to VECTRABANK_MONITORING. Point at the alarms section.</w:t>
      </w:r>
    </w:p>
    <w:p>
      <w:pPr>
        <w:spacing w:before="80" w:after="80"/>
      </w:pPr>
      <w:r>
        <w:rPr>
          <w:rFonts w:ascii="Arial" w:hAnsi="Arial"/>
          <w:sz w:val="22"/>
        </w:rPr>
        <w:t>Three alarms. HighErrorRate at 2 percent -- half the demo's 5 percent threshold, because financial errors have direct regulatory consequences. HighLatencyP99 at 8 seconds -- slightly tighter than the demo's 10. GuardrailViolationSpike at 50 blocks in 5 minutes -- a pattern that suggests an active adversarial probe, not just noisy traffic. That alarm routes to the security team, not just ops.</w:t>
      </w:r>
    </w:p>
    <w:p>
      <w:pPr>
        <w:spacing w:before="100" w:after="60"/>
      </w:pPr>
      <w:r>
        <w:rPr>
          <w:rFonts w:ascii="Arial" w:hAnsi="Arial"/>
          <w:i/>
          <w:color w:val="1F4E79"/>
          <w:sz w:val="20"/>
        </w:rPr>
        <w:t>Scroll to OPERATIONAL_RUNBOOK.</w:t>
      </w:r>
    </w:p>
    <w:p>
      <w:pPr>
        <w:spacing w:before="80" w:after="80"/>
      </w:pPr>
      <w:r>
        <w:rPr>
          <w:rFonts w:ascii="Arial" w:hAnsi="Arial"/>
          <w:sz w:val="22"/>
        </w:rPr>
        <w:t>The runbook has four procedures. Deploy a New Version: run tests, update guardrail if policies changed, deploy runtime, smoke test 20 requests, monitor for 15 minutes, rollback if error rate exceeds 2 percent. Rollback: identify previous stable version, redeploy, verify with smoke test, create post-mortem ticket. Kill Switch: acknowledge alarm, check audit log for root cause, distinguish adversarial attack from agent malfunction, fix and re-enable, monitor 30 minutes post-recovery. Latency Investigation: open X-Ray service map, check per-agent latency targets -- router under 200ms, retrievers under 1 second, advisor under 3 seconds -- identify the bottleneck, scale or add backoff as needed.</w:t>
      </w:r>
    </w:p>
    <w:p>
      <w:pPr>
        <w:spacing w:before="120" w:after="120"/>
        <w:ind w:left="144" w:right="144"/>
        <w:shd w:val="clear" w:color="auto" w:fill="E2EFDA"/>
      </w:pPr>
      <w:r>
        <w:rPr>
          <w:rFonts w:ascii="Arial" w:hAnsi="Arial"/>
          <w:b/>
          <w:color w:val="375623"/>
          <w:sz w:val="20"/>
        </w:rPr>
        <w:t xml:space="preserve">TIP: </w:t>
      </w:r>
      <w:r>
        <w:rPr>
          <w:rFonts w:ascii="Arial" w:hAnsi="Arial"/>
          <w:color w:val="375623"/>
          <w:sz w:val="20"/>
        </w:rPr>
        <w:t>Write the runbook before you go live. You cannot write a clear incident response procedure during an actual incident -- the pressure is too high and the time too short. Document the procedures when you're calm.</w:t>
      </w:r>
    </w:p>
    <w:p>
      <w:pPr>
        <w:spacing w:before="280" w:after="80"/>
        <w:pBdr>
          <w:bottom w:val="single" w:sz="4" w:space="1" w:color="AAAAAA"/>
        </w:pBdr>
      </w:pPr>
      <w:r>
        <w:rPr>
          <w:rFonts w:ascii="Arial" w:hAnsi="Arial"/>
          <w:b/>
          <w:sz w:val="28"/>
        </w:rPr>
        <w:t>3. Run &amp; Results</w:t>
      </w:r>
    </w:p>
    <w:p>
      <w:pPr>
        <w:spacing w:before="100" w:after="60"/>
      </w:pPr>
      <w:r>
        <w:rPr>
          <w:rFonts w:ascii="Arial" w:hAnsi="Arial"/>
          <w:i/>
          <w:color w:val="1F4E79"/>
          <w:sz w:val="20"/>
        </w:rPr>
        <w:t>Switch to terminal. Run: python solution/vectrabank_architecture.py</w:t>
      </w:r>
    </w:p>
    <w:p>
      <w:pPr>
        <w:spacing w:before="80" w:after="80"/>
      </w:pPr>
      <w:r>
        <w:rPr>
          <w:rFonts w:ascii="Arial" w:hAnsi="Arial"/>
          <w:sz w:val="22"/>
        </w:rPr>
        <w:t>The script prints the full VectraBank architecture plan, then deploys the runtime. Walk through each section.</w:t>
      </w:r>
    </w:p>
    <w:p>
      <w:pPr>
        <w:spacing w:before="100" w:after="60"/>
      </w:pPr>
      <w:r>
        <w:rPr>
          <w:rFonts w:ascii="Arial" w:hAnsi="Arial"/>
          <w:i/>
          <w:color w:val="1F4E79"/>
          <w:sz w:val="20"/>
        </w:rPr>
        <w:t>Point at Section 1 -- Runtime Configuration.</w:t>
      </w:r>
    </w:p>
    <w:p>
      <w:pPr>
        <w:spacing w:before="80" w:after="80"/>
      </w:pPr>
      <w:r>
        <w:rPr>
          <w:rFonts w:ascii="Arial" w:hAnsi="Arial"/>
          <w:sz w:val="22"/>
        </w:rPr>
        <w:t>VPC mode with private subnets. The roleArn and VPC config are pulled from CloudFormation exports automatically -- same mechanism as the capstone project's config.py. Notice ENABLE_XRAY is explicitly set to true as an environment variable, so X-Ray activation is part of the runtime config rather than a code-level setting.</w:t>
      </w:r>
    </w:p>
    <w:p>
      <w:pPr>
        <w:spacing w:before="100" w:after="60"/>
      </w:pPr>
      <w:r>
        <w:rPr>
          <w:rFonts w:ascii="Arial" w:hAnsi="Arial"/>
          <w:i/>
          <w:color w:val="1F4E79"/>
          <w:sz w:val="20"/>
        </w:rPr>
        <w:t>Point at Section 2 -- Agent Definitions.</w:t>
      </w:r>
    </w:p>
    <w:p>
      <w:pPr>
        <w:spacing w:before="80" w:after="80"/>
      </w:pPr>
      <w:r>
        <w:rPr>
          <w:rFonts w:ascii="Arial" w:hAnsi="Arial"/>
          <w:sz w:val="22"/>
        </w:rPr>
        <w:t>Four agents. Three Lite models for routing and retrieval, one Sonnet for synthesis. The request volumes show the retrieval pattern: 6,000 market data queries and 4,000 compliance queries per day sum to 10,000 -- every query hits exactly one retriever. All 10,000 then go to the FinancialAdvisor for synthesis.</w:t>
      </w:r>
    </w:p>
    <w:p>
      <w:pPr>
        <w:spacing w:before="100" w:after="60"/>
      </w:pPr>
      <w:r>
        <w:rPr>
          <w:rFonts w:ascii="Arial" w:hAnsi="Arial"/>
          <w:i/>
          <w:color w:val="1F4E79"/>
          <w:sz w:val="20"/>
        </w:rPr>
        <w:t>Point at Section 3 -- Monitoring with 6 widgets and 3 alarms.</w:t>
      </w:r>
    </w:p>
    <w:p>
      <w:pPr>
        <w:spacing w:before="80" w:after="80"/>
      </w:pPr>
      <w:r>
        <w:rPr>
          <w:rFonts w:ascii="Arial" w:hAnsi="Arial"/>
          <w:sz w:val="22"/>
        </w:rPr>
        <w:t>Six widgets versus four in the demo. The two additions -- RAG Retrieval Quality and Kill Switch Status -- are specific to a financial RAG system. Retrieval quality tells you if the knowledge bases are returning relevant results. Kill switch status is a real-time health indicator for the circuit breaker from Lesson 9.</w:t>
      </w:r>
    </w:p>
    <w:p>
      <w:pPr>
        <w:spacing w:before="100" w:after="60"/>
      </w:pPr>
      <w:r>
        <w:rPr>
          <w:rFonts w:ascii="Arial" w:hAnsi="Arial"/>
          <w:i/>
          <w:color w:val="1F4E79"/>
          <w:sz w:val="20"/>
        </w:rPr>
        <w:t>Point at Section 4 -- Cost Estimation.</w:t>
      </w:r>
    </w:p>
    <w:p>
      <w:pPr>
        <w:spacing w:before="80" w:after="80"/>
      </w:pPr>
      <w:r>
        <w:rPr>
          <w:rFonts w:ascii="Arial" w:hAnsi="Arial"/>
          <w:sz w:val="22"/>
        </w:rPr>
        <w:t>The cost table shows why model selection is the biggest architectural decision. The three Nova Lite agents -- router and two retrievers -- cost a combined $39.60 per month. The FinancialAdvisor on Claude Sonnet costs $5,850 per month. That's 97 percent of the model spend in a single agent. If you moved the advisor to Nova Pro, you'd pay around $2,400 instead. Total system cost is about $6,000 per month for 10,000 requests per day.</w:t>
      </w:r>
    </w:p>
    <w:p>
      <w:pPr>
        <w:spacing w:before="100" w:after="60"/>
      </w:pPr>
      <w:r>
        <w:rPr>
          <w:rFonts w:ascii="Arial" w:hAnsi="Arial"/>
          <w:i/>
          <w:color w:val="1F4E79"/>
          <w:sz w:val="20"/>
        </w:rPr>
        <w:t>Point at Section 4 output -- Operational Runbook.</w:t>
      </w:r>
    </w:p>
    <w:p>
      <w:pPr>
        <w:spacing w:before="80" w:after="80"/>
      </w:pPr>
      <w:r>
        <w:rPr>
          <w:rFonts w:ascii="Arial" w:hAnsi="Arial"/>
          <w:sz w:val="22"/>
        </w:rPr>
        <w:t>The four runbook procedures printed in full. In a real production deployment, these would live in your internal wiki or PagerDuty runbook, linked from the CloudWatch alarm actions. The point is they exist and are tested before the system goes live.</w:t>
      </w:r>
    </w:p>
    <w:p>
      <w:pPr>
        <w:spacing w:before="100" w:after="60"/>
      </w:pPr>
      <w:r>
        <w:rPr>
          <w:rFonts w:ascii="Arial" w:hAnsi="Arial"/>
          <w:i/>
          <w:color w:val="1F4E79"/>
          <w:sz w:val="20"/>
        </w:rPr>
        <w:t>Point at Section 5 -- Deploy to AgentCore Runtime.</w:t>
      </w:r>
    </w:p>
    <w:p>
      <w:pPr>
        <w:spacing w:before="80" w:after="80"/>
      </w:pPr>
      <w:r>
        <w:rPr>
          <w:rFonts w:ascii="Arial" w:hAnsi="Arial"/>
          <w:sz w:val="22"/>
        </w:rPr>
        <w:t>Same three workarounds as the demo, with one VectraBank difference: X-Ray sampling at 10 percent instead of 5 for the SEC and FINRA audit trail. The API call is identical: before-call hook for guardrailConfiguration, dummy deployment.zip to S3, create_agent_runtime, then try/except on logging config. You get back a vectrabank-financial-services runtime ARN to add to your capstone .env.</w:t>
      </w:r>
    </w:p>
    <w:p>
      <w:pPr>
        <w:spacing w:before="80" w:after="80"/>
      </w:pPr>
      <w:r>
        <w:rPr>
          <w:rFonts w:ascii="Arial" w:hAnsi="Arial"/>
          <w:sz w:val="22"/>
        </w:rPr>
        <w:t>That's Lesson 10 and the end of the lesson content. You've gone from building your first multi-agent system in Lesson 1 to deploying a production-grade runtime in Lesson 10 -- with real AWS API calls and the three SDK workarounds you'll use in your capstone. Good luck.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