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ABSTRACT</w:t>
      </w:r>
    </w:p>
    <w:p>
      <w:pPr>
        <w:jc w:val="center"/>
      </w:pPr>
      <w:r>
        <w:t>Quantum Graph Convolutional Networks for Power Grid Reliability</w:t>
      </w:r>
    </w:p>
    <w:p>
      <w:pPr>
        <w:jc w:val="center"/>
      </w:pPr>
      <w:r>
        <w:t>Udai Ratinam G | Batch 2 | Reg No: RA2311003011971</w:t>
      </w:r>
    </w:p>
    <w:p/>
    <w:p>
      <w:r>
        <w:t>Modern power grids are highly interconnected cyber-physical systems where local faults can propagate rapidly across transmission networks. This project investigates a hybrid Quantum Graph Convolutional Network (QGCN) framework for reliability prediction in such graph-structured infrastructure. The central objective is to estimate node-level and system-level risk probabilities from operational signals before cascading failures emerge. Unlike traditional classifiers that treat records as independent vectors, the proposed approach models the grid as a graph, preserving both topological dependence and temporal state variability. An IEEE 14-bus style topology is used as the experimental backbone, with synthetic but physically plausible operating samples containing voltage magnitude, phase angle, active/reactive power, and load-related features.</w:t>
        <w:br/>
        <w:br/>
        <w:t>The implementation follows a four-phase pipeline. Phase 1 constructs and validates the graph data model. Phase 2 performs quantum feature embedding via angle encoding, mapping classical attributes into parameterized quantum states. Phase 3 introduces a variational quantum layer with trainable rotations and entanglement, enabling message-passing behavior that captures non-linear interactions among neighboring buses. Phase 4 integrates the quantum outputs with a classical decision head for supervised optimization using binary cross-entropy and threshold-based risk calibration. The final system is evaluated using classification metrics and visual diagnostics, including ROC analysis and spatial risk heatmaps.</w:t>
        <w:br/>
        <w:br/>
        <w:t>Experimental results demonstrate approximately 82.9% predictive accuracy and an AUC near 0.847, indicating reliable discrimination between stable and high-risk grid states in the test scenarios. Comparative baselines show that incorporating graph structure and quantum embedding improves robustness in regimes where interactions are strongly coupled. The project contribution is twofold: a reproducible engineering pipeline for QGCN-based reliability analytics, and an application-oriented demonstration of quantum-enhanced learning for critical infrastructure monitoring. These outcomes support future extensions toward real SCADA data, uncertainty-aware decision support, and scalable deployment on near-term quantum hardware.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