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we demonstrate that the hybrid QGCN framework successfully learns to classify hazardous grid conditions. The integration of quantum representation provides theoretical advantages in feature expressivity. This report details the theoretical foundations, system architecture, methodology, and empirical results of applying quantum machine learning to critical infrastructure reliability, offering a stepping stone towards fully quantum-native smart grid management systems.</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t>LIST OF TABLES</w:t>
        <w:tab/>
        <w:tab/>
        <w:tab/>
        <w:tab/>
        <w:tab/>
        <w:tab/>
        <w:tab/>
        <w:t>viii</w:t>
      </w:r>
    </w:p>
    <w:p>
      <w:pPr>
        <w:spacing w:line="360" w:lineRule="auto"/>
        <w:jc w:val="both"/>
      </w:pPr>
      <w:r>
        <w:rPr>
          <w:sz w:val="24"/>
        </w:rPr>
        <w:t>ABBREVIATIONS</w:t>
        <w:tab/>
        <w:tab/>
        <w:tab/>
        <w:tab/>
        <w:tab/>
        <w:tab/>
        <w:tab/>
        <w:t>ix</w:t>
      </w:r>
    </w:p>
    <w:p>
      <w:pPr>
        <w:spacing w:line="360" w:lineRule="auto"/>
        <w:jc w:val="both"/>
      </w:pPr>
      <w:r>
        <w:rPr>
          <w:sz w:val="24"/>
        </w:rPr>
        <w:br/>
        <w:t>CHAPTER 1</w:t>
        <w:tab/>
        <w:t>INTRODUCTION</w:t>
        <w:tab/>
        <w:tab/>
        <w:tab/>
        <w:tab/>
        <w:tab/>
        <w:t>1</w:t>
      </w:r>
    </w:p>
    <w:p>
      <w:pPr>
        <w:spacing w:line="360" w:lineRule="auto"/>
        <w:jc w:val="both"/>
      </w:pPr>
      <w:r>
        <w:rPr>
          <w:sz w:val="24"/>
        </w:rPr>
        <w:t xml:space="preserve">  1.1 Background to Power Grid Infrastructure</w:t>
        <w:tab/>
        <w:tab/>
        <w:tab/>
        <w:t>2</w:t>
      </w:r>
    </w:p>
    <w:p>
      <w:pPr>
        <w:spacing w:line="360" w:lineRule="auto"/>
        <w:jc w:val="both"/>
      </w:pPr>
      <w:r>
        <w:rPr>
          <w:sz w:val="24"/>
        </w:rPr>
        <w:t xml:space="preserve">  1.2 The Transition to Smart Grids</w:t>
        <w:tab/>
        <w:tab/>
        <w:tab/>
        <w:tab/>
        <w:t>4</w:t>
      </w:r>
    </w:p>
    <w:p>
      <w:pPr>
        <w:spacing w:line="360" w:lineRule="auto"/>
        <w:jc w:val="both"/>
      </w:pPr>
      <w:r>
        <w:rPr>
          <w:sz w:val="24"/>
        </w:rPr>
        <w:t xml:space="preserve">  1.3 Challenges in Grid Reliability Prediction</w:t>
        <w:tab/>
        <w:tab/>
        <w:tab/>
        <w:t>5</w:t>
      </w:r>
    </w:p>
    <w:p>
      <w:pPr>
        <w:spacing w:line="360" w:lineRule="auto"/>
        <w:jc w:val="both"/>
      </w:pPr>
      <w:r>
        <w:rPr>
          <w:sz w:val="24"/>
        </w:rPr>
        <w:t xml:space="preserve">  1.4 Quantum Machine Learning Promise</w:t>
        <w:tab/>
        <w:tab/>
        <w:tab/>
        <w:tab/>
        <w:t>7</w:t>
      </w:r>
    </w:p>
    <w:p>
      <w:pPr>
        <w:spacing w:line="360" w:lineRule="auto"/>
        <w:jc w:val="both"/>
      </w:pPr>
      <w:r>
        <w:rPr>
          <w:sz w:val="24"/>
        </w:rPr>
        <w:t xml:space="preserve">  1.5 Problem Statement and Description</w:t>
        <w:tab/>
        <w:tab/>
        <w:tab/>
        <w:tab/>
        <w:t>8</w:t>
      </w:r>
    </w:p>
    <w:p>
      <w:pPr>
        <w:spacing w:line="360" w:lineRule="auto"/>
        <w:jc w:val="both"/>
      </w:pPr>
      <w:r>
        <w:rPr>
          <w:sz w:val="24"/>
        </w:rPr>
        <w:t xml:space="preserve">  1.6 Objectives of the Project</w:t>
        <w:tab/>
        <w:tab/>
        <w:tab/>
        <w:tab/>
        <w:tab/>
        <w:t>10</w:t>
      </w:r>
    </w:p>
    <w:p>
      <w:pPr>
        <w:spacing w:line="360" w:lineRule="auto"/>
        <w:jc w:val="both"/>
      </w:pPr>
      <w:r>
        <w:rPr>
          <w:sz w:val="24"/>
        </w:rPr>
        <w:t>CHAPTER 2</w:t>
        <w:tab/>
        <w:t>LITERATURE SURVEY</w:t>
        <w:tab/>
        <w:tab/>
        <w:tab/>
        <w:tab/>
        <w:t>12</w:t>
      </w:r>
    </w:p>
    <w:p>
      <w:pPr>
        <w:spacing w:line="360" w:lineRule="auto"/>
        <w:jc w:val="both"/>
      </w:pPr>
      <w:r>
        <w:rPr>
          <w:sz w:val="24"/>
        </w:rPr>
        <w:t xml:space="preserve">  2.1 Traditional Graph Neural Networks</w:t>
        <w:tab/>
        <w:tab/>
        <w:tab/>
        <w:tab/>
        <w:t>13</w:t>
      </w:r>
    </w:p>
    <w:p>
      <w:pPr>
        <w:spacing w:line="360" w:lineRule="auto"/>
        <w:jc w:val="both"/>
      </w:pPr>
      <w:r>
        <w:rPr>
          <w:sz w:val="24"/>
        </w:rPr>
        <w:t xml:space="preserve">  2.2 Limitations of Classical Approaches</w:t>
        <w:tab/>
        <w:tab/>
        <w:tab/>
        <w:t>15</w:t>
      </w:r>
    </w:p>
    <w:p>
      <w:pPr>
        <w:spacing w:line="360" w:lineRule="auto"/>
        <w:jc w:val="both"/>
      </w:pPr>
      <w:r>
        <w:rPr>
          <w:sz w:val="24"/>
        </w:rPr>
        <w:t xml:space="preserve">  2.3 Quantum State Embedding Techniques</w:t>
        <w:tab/>
        <w:tab/>
        <w:tab/>
        <w:t>17</w:t>
      </w:r>
    </w:p>
    <w:p>
      <w:pPr>
        <w:spacing w:line="360" w:lineRule="auto"/>
        <w:jc w:val="both"/>
      </w:pPr>
      <w:r>
        <w:rPr>
          <w:sz w:val="24"/>
        </w:rPr>
        <w:t xml:space="preserve">  2.4 Variational Quantum Algorithms</w:t>
        <w:tab/>
        <w:tab/>
        <w:tab/>
        <w:tab/>
        <w:t>19</w:t>
      </w:r>
    </w:p>
    <w:p>
      <w:pPr>
        <w:spacing w:line="360" w:lineRule="auto"/>
        <w:jc w:val="both"/>
      </w:pPr>
      <w:r>
        <w:rPr>
          <w:sz w:val="24"/>
        </w:rPr>
        <w:t xml:space="preserve">  2.5 Existing Quantum-Classical Hybrid Frameworks</w:t>
        <w:tab/>
        <w:tab/>
        <w:t>21</w:t>
      </w:r>
    </w:p>
    <w:p>
      <w:pPr>
        <w:spacing w:line="360" w:lineRule="auto"/>
        <w:jc w:val="both"/>
      </w:pPr>
      <w:r>
        <w:rPr>
          <w:sz w:val="24"/>
        </w:rPr>
        <w:t xml:space="preserve">  2.6 Identifying the Research Gap</w:t>
        <w:tab/>
        <w:tab/>
        <w:tab/>
        <w:tab/>
        <w:t>23</w:t>
      </w:r>
    </w:p>
    <w:p>
      <w:pPr>
        <w:spacing w:line="360" w:lineRule="auto"/>
        <w:jc w:val="both"/>
      </w:pPr>
      <w:r>
        <w:rPr>
          <w:sz w:val="24"/>
        </w:rPr>
        <w:t>CHAPTER 3</w:t>
        <w:tab/>
        <w:t>SPRINT PLANNING AND METHODOLOGY</w:t>
        <w:tab/>
        <w:tab/>
        <w:t>24</w:t>
      </w:r>
    </w:p>
    <w:p>
      <w:pPr>
        <w:spacing w:line="360" w:lineRule="auto"/>
        <w:jc w:val="both"/>
      </w:pPr>
      <w:r>
        <w:rPr>
          <w:sz w:val="24"/>
        </w:rPr>
        <w:t xml:space="preserve">  3.1 Architecture Overview</w:t>
        <w:tab/>
        <w:tab/>
        <w:tab/>
        <w:tab/>
        <w:tab/>
        <w:t>25</w:t>
      </w:r>
    </w:p>
    <w:p>
      <w:pPr>
        <w:spacing w:line="360" w:lineRule="auto"/>
        <w:jc w:val="both"/>
      </w:pPr>
      <w:r>
        <w:rPr>
          <w:sz w:val="24"/>
        </w:rPr>
        <w:t xml:space="preserve">  3.2 Sprint I: Graph Construction and Telemetry</w:t>
        <w:tab/>
        <w:tab/>
        <w:t>26</w:t>
      </w:r>
    </w:p>
    <w:p>
      <w:pPr>
        <w:spacing w:line="360" w:lineRule="auto"/>
        <w:jc w:val="both"/>
      </w:pPr>
      <w:r>
        <w:rPr>
          <w:sz w:val="24"/>
        </w:rPr>
        <w:t xml:space="preserve">  3.3 Sprint II: Quantum Kernel and Angle Embedding</w:t>
        <w:tab/>
        <w:tab/>
        <w:t>28</w:t>
      </w:r>
    </w:p>
    <w:p>
      <w:pPr>
        <w:spacing w:line="360" w:lineRule="auto"/>
        <w:jc w:val="both"/>
      </w:pPr>
      <w:r>
        <w:rPr>
          <w:sz w:val="24"/>
        </w:rPr>
        <w:t xml:space="preserve">  3.4 Sprint III: Classical Message Passing</w:t>
        <w:tab/>
        <w:tab/>
        <w:tab/>
        <w:t>30</w:t>
      </w:r>
    </w:p>
    <w:p>
      <w:pPr>
        <w:spacing w:line="360" w:lineRule="auto"/>
        <w:jc w:val="both"/>
      </w:pPr>
      <w:r>
        <w:rPr>
          <w:sz w:val="24"/>
        </w:rPr>
        <w:t>CHAPTER 4</w:t>
        <w:tab/>
        <w:t>RESULTS AND DISCUSSIONS</w:t>
        <w:tab/>
        <w:tab/>
        <w:tab/>
        <w:t>32</w:t>
      </w:r>
    </w:p>
    <w:p>
      <w:pPr>
        <w:spacing w:line="360" w:lineRule="auto"/>
        <w:jc w:val="both"/>
      </w:pPr>
      <w:r>
        <w:rPr>
          <w:sz w:val="24"/>
        </w:rPr>
        <w:t xml:space="preserve">  4.1 Experimental Setup and Simulation Environment</w:t>
        <w:tab/>
        <w:tab/>
        <w:t>33</w:t>
      </w:r>
    </w:p>
    <w:p>
      <w:pPr>
        <w:spacing w:line="360" w:lineRule="auto"/>
        <w:jc w:val="both"/>
      </w:pPr>
      <w:r>
        <w:rPr>
          <w:sz w:val="24"/>
        </w:rPr>
        <w:t xml:space="preserve">  4.2 Training Dynamics and Convergence</w:t>
        <w:tab/>
        <w:tab/>
        <w:tab/>
        <w:tab/>
        <w:t>34</w:t>
      </w:r>
    </w:p>
    <w:p>
      <w:pPr>
        <w:spacing w:line="360" w:lineRule="auto"/>
        <w:jc w:val="both"/>
      </w:pPr>
      <w:r>
        <w:rPr>
          <w:sz w:val="24"/>
        </w:rPr>
        <w:t xml:space="preserve">  4.3 Prediction Distribution Analysis</w:t>
        <w:tab/>
        <w:tab/>
        <w:tab/>
        <w:tab/>
        <w:t>35</w:t>
      </w:r>
    </w:p>
    <w:p>
      <w:pPr>
        <w:spacing w:line="360" w:lineRule="auto"/>
        <w:jc w:val="both"/>
      </w:pPr>
      <w:r>
        <w:rPr>
          <w:sz w:val="24"/>
        </w:rPr>
        <w:t xml:space="preserve">  4.4 Grid Risk Heatmap and Spatial Accuracy</w:t>
        <w:tab/>
        <w:tab/>
        <w:tab/>
        <w:t>37</w:t>
      </w:r>
    </w:p>
    <w:p>
      <w:pPr>
        <w:spacing w:line="360" w:lineRule="auto"/>
        <w:jc w:val="both"/>
      </w:pPr>
      <w:r>
        <w:rPr>
          <w:sz w:val="24"/>
        </w:rPr>
        <w:t xml:space="preserve">  4.5 Comparative Baseline Performance</w:t>
        <w:tab/>
        <w:tab/>
        <w:tab/>
        <w:tab/>
        <w:t>38</w:t>
      </w:r>
    </w:p>
    <w:p>
      <w:pPr>
        <w:spacing w:line="360" w:lineRule="auto"/>
        <w:jc w:val="both"/>
      </w:pPr>
      <w:r>
        <w:rPr>
          <w:sz w:val="24"/>
        </w:rPr>
        <w:t>CHAPTER 5</w:t>
        <w:tab/>
        <w:t>CONCLUSION AND FUTURE ENHANCEMENT</w:t>
        <w:tab/>
        <w:t>40</w:t>
      </w:r>
    </w:p>
    <w:p>
      <w:pPr>
        <w:spacing w:line="360" w:lineRule="auto"/>
        <w:jc w:val="both"/>
      </w:pPr>
      <w:r>
        <w:rPr>
          <w:sz w:val="24"/>
        </w:rPr>
        <w:t xml:space="preserve">  5.1 Summary of Contributions</w:t>
        <w:tab/>
        <w:tab/>
        <w:tab/>
        <w:tab/>
        <w:tab/>
        <w:t>41</w:t>
      </w:r>
    </w:p>
    <w:p>
      <w:pPr>
        <w:spacing w:line="360" w:lineRule="auto"/>
        <w:jc w:val="both"/>
      </w:pPr>
      <w:r>
        <w:rPr>
          <w:sz w:val="24"/>
        </w:rPr>
        <w:t xml:space="preserve">  5.2 Limitations of the Current Approach</w:t>
        <w:tab/>
        <w:tab/>
        <w:tab/>
        <w:t>42</w:t>
      </w:r>
    </w:p>
    <w:p>
      <w:pPr>
        <w:spacing w:line="360" w:lineRule="auto"/>
        <w:jc w:val="both"/>
      </w:pPr>
      <w:r>
        <w:rPr>
          <w:sz w:val="24"/>
        </w:rPr>
        <w:t xml:space="preserve">  5.3 Future Hardware and Scaling Perspectives</w:t>
        <w:tab/>
        <w:tab/>
        <w:tab/>
        <w:t>44</w:t>
      </w:r>
    </w:p>
    <w:p>
      <w:pPr>
        <w:spacing w:line="360" w:lineRule="auto"/>
        <w:jc w:val="both"/>
      </w:pPr>
      <w:r>
        <w:rPr>
          <w:sz w:val="24"/>
        </w:rPr>
        <w:br/>
        <w:t>REFERENCES</w:t>
        <w:tab/>
        <w:tab/>
        <w:tab/>
        <w:tab/>
        <w:tab/>
        <w:tab/>
        <w:tab/>
        <w:t>45</w:t>
      </w:r>
    </w:p>
    <w:p>
      <w:r>
        <w:br w:type="page"/>
      </w:r>
    </w:p>
    <w:p>
      <w:pPr>
        <w:pStyle w:val="Heading1"/>
        <w:spacing w:line="360" w:lineRule="auto"/>
        <w:jc w:val="center"/>
      </w:pPr>
      <w:r>
        <w:t>CHAPTER 1 - INTRODUCTION</w:t>
      </w:r>
    </w:p>
    <w:p>
      <w:pPr>
        <w:pStyle w:val="Heading2"/>
        <w:spacing w:line="360" w:lineRule="auto"/>
        <w:jc w:val="both"/>
      </w:pPr>
      <w:r>
        <w:t>1.1 Background to Power Grid Infrastructure</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1.2 The Transition to Smart Grids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1.3 Challenges in Grid Reliability Prediction</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1.4 Quantum Machine Learning Promise</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1.5 Problem Statement and Description</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1.6 Objectives of the Project</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type="page"/>
      </w:r>
    </w:p>
    <w:p>
      <w:pPr>
        <w:pStyle w:val="Heading1"/>
        <w:spacing w:line="360" w:lineRule="auto"/>
        <w:jc w:val="center"/>
      </w:pPr>
      <w:r>
        <w:t>CHAPTER 2 - LITERATURE SURVEY</w:t>
      </w:r>
    </w:p>
    <w:p>
      <w:pPr>
        <w:pStyle w:val="Heading2"/>
        <w:spacing w:line="360" w:lineRule="auto"/>
        <w:jc w:val="both"/>
      </w:pPr>
      <w:r>
        <w:t>2.1 Traditional Graph Neural Networks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2.2 Limitations of Classical Approaches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2.3 Quantum State Embedding Techniques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2.4 Variational Quantum Algorithms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2.5 Existing Quantum-Classical Hybrid Frameworks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2.6 Identifying the Research Gap</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type="page"/>
      </w:r>
    </w:p>
    <w:p>
      <w:pPr>
        <w:pStyle w:val="Heading1"/>
        <w:spacing w:line="360" w:lineRule="auto"/>
        <w:jc w:val="center"/>
      </w:pPr>
      <w:r>
        <w:t>CHAPTER 3 - SPRINT PLANNING AND METHODOLOGY</w:t>
      </w:r>
    </w:p>
    <w:p>
      <w:pPr>
        <w:pStyle w:val="Heading2"/>
        <w:spacing w:line="360" w:lineRule="auto"/>
        <w:jc w:val="both"/>
      </w:pPr>
      <w:r>
        <w:t>3.1 Architecture Overview</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3.2 Sprint I: Graph Construction and Telemetry</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3911065"/>
            <wp:docPr id="1" name="Picture 1"/>
            <wp:cNvGraphicFramePr>
              <a:graphicFrameLocks noChangeAspect="1"/>
            </wp:cNvGraphicFramePr>
            <a:graphic>
              <a:graphicData uri="http://schemas.openxmlformats.org/drawingml/2006/picture">
                <pic:pic>
                  <pic:nvPicPr>
                    <pic:cNvPr id="0" name="01_grid_topology.png"/>
                    <pic:cNvPicPr/>
                  </pic:nvPicPr>
                  <pic:blipFill>
                    <a:blip r:embed="rId9"/>
                    <a:stretch>
                      <a:fillRect/>
                    </a:stretch>
                  </pic:blipFill>
                  <pic:spPr>
                    <a:xfrm>
                      <a:off x="0" y="0"/>
                      <a:ext cx="4572000" cy="3911065"/>
                    </a:xfrm>
                    <a:prstGeom prst="rect"/>
                  </pic:spPr>
                </pic:pic>
              </a:graphicData>
            </a:graphic>
          </wp:inline>
        </w:drawing>
      </w:r>
    </w:p>
    <w:p>
      <w:pPr>
        <w:spacing w:line="360" w:lineRule="auto"/>
        <w:jc w:val="center"/>
      </w:pPr>
      <w:r>
        <w:rPr>
          <w:i/>
          <w:sz w:val="22"/>
        </w:rPr>
        <w:t>Figure 3.1: IEEE 14-bus Grid Topology mapping</w:t>
      </w:r>
    </w:p>
    <w:p>
      <w:r>
        <w:br/>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3.3 Sprint II: Quantum Kernel and Angle Embedding</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3743900"/>
            <wp:docPr id="2" name="Picture 2"/>
            <wp:cNvGraphicFramePr>
              <a:graphicFrameLocks noChangeAspect="1"/>
            </wp:cNvGraphicFramePr>
            <a:graphic>
              <a:graphicData uri="http://schemas.openxmlformats.org/drawingml/2006/picture">
                <pic:pic>
                  <pic:nvPicPr>
                    <pic:cNvPr id="0" name="05_quantum_states.png"/>
                    <pic:cNvPicPr/>
                  </pic:nvPicPr>
                  <pic:blipFill>
                    <a:blip r:embed="rId10"/>
                    <a:stretch>
                      <a:fillRect/>
                    </a:stretch>
                  </pic:blipFill>
                  <pic:spPr>
                    <a:xfrm>
                      <a:off x="0" y="0"/>
                      <a:ext cx="4572000" cy="3743900"/>
                    </a:xfrm>
                    <a:prstGeom prst="rect"/>
                  </pic:spPr>
                </pic:pic>
              </a:graphicData>
            </a:graphic>
          </wp:inline>
        </w:drawing>
      </w:r>
    </w:p>
    <w:p>
      <w:pPr>
        <w:spacing w:line="360" w:lineRule="auto"/>
        <w:jc w:val="center"/>
      </w:pPr>
      <w:r>
        <w:rPr>
          <w:i/>
          <w:sz w:val="22"/>
        </w:rPr>
        <w:t>Figure 3.2: Visualization of Quantum States Post-Embedding</w:t>
      </w:r>
    </w:p>
    <w:p>
      <w:r>
        <w:br/>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qkernel_entangled.png"/>
                    <pic:cNvPicPr/>
                  </pic:nvPicPr>
                  <pic:blipFill>
                    <a:blip r:embed="rId11"/>
                    <a:stretch>
                      <a:fillRect/>
                    </a:stretch>
                  </pic:blipFill>
                  <pic:spPr>
                    <a:xfrm>
                      <a:off x="0" y="0"/>
                      <a:ext cx="4572000" cy="3810000"/>
                    </a:xfrm>
                    <a:prstGeom prst="rect"/>
                  </pic:spPr>
                </pic:pic>
              </a:graphicData>
            </a:graphic>
          </wp:inline>
        </w:drawing>
      </w:r>
    </w:p>
    <w:p>
      <w:pPr>
        <w:spacing w:line="360" w:lineRule="auto"/>
        <w:jc w:val="center"/>
      </w:pPr>
      <w:r>
        <w:rPr>
          <w:i/>
          <w:sz w:val="22"/>
        </w:rPr>
        <w:t>Figure 3.3: Entangled Quantum Kernel Matrix Representation</w:t>
      </w:r>
    </w:p>
    <w:p>
      <w:r>
        <w:br/>
      </w:r>
    </w:p>
    <w:p>
      <w:pPr>
        <w:pStyle w:val="Heading2"/>
        <w:spacing w:line="360" w:lineRule="auto"/>
        <w:jc w:val="both"/>
      </w:pPr>
      <w:r>
        <w:t>3.4 Sprint III: Classical Message Passing</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type="page"/>
      </w:r>
    </w:p>
    <w:p>
      <w:pPr>
        <w:pStyle w:val="Heading1"/>
        <w:spacing w:line="360" w:lineRule="auto"/>
        <w:jc w:val="center"/>
      </w:pPr>
      <w:r>
        <w:t>CHAPTER 4 - RESULTS AND DISCUSSIONS</w:t>
      </w:r>
    </w:p>
    <w:p>
      <w:pPr>
        <w:pStyle w:val="Heading2"/>
        <w:spacing w:line="360" w:lineRule="auto"/>
        <w:jc w:val="both"/>
      </w:pPr>
      <w:r>
        <w:t>4.1 Experimental Setup and Simulation Environment</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4.2 Training Dynamics and Convergence</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1607327"/>
            <wp:docPr id="4" name="Picture 4"/>
            <wp:cNvGraphicFramePr>
              <a:graphicFrameLocks noChangeAspect="1"/>
            </wp:cNvGraphicFramePr>
            <a:graphic>
              <a:graphicData uri="http://schemas.openxmlformats.org/drawingml/2006/picture">
                <pic:pic>
                  <pic:nvPicPr>
                    <pic:cNvPr id="0" name="02_training_history.png"/>
                    <pic:cNvPicPr/>
                  </pic:nvPicPr>
                  <pic:blipFill>
                    <a:blip r:embed="rId12"/>
                    <a:stretch>
                      <a:fillRect/>
                    </a:stretch>
                  </pic:blipFill>
                  <pic:spPr>
                    <a:xfrm>
                      <a:off x="0" y="0"/>
                      <a:ext cx="4572000" cy="1607327"/>
                    </a:xfrm>
                    <a:prstGeom prst="rect"/>
                  </pic:spPr>
                </pic:pic>
              </a:graphicData>
            </a:graphic>
          </wp:inline>
        </w:drawing>
      </w:r>
    </w:p>
    <w:p>
      <w:pPr>
        <w:spacing w:line="360" w:lineRule="auto"/>
        <w:jc w:val="center"/>
      </w:pPr>
      <w:r>
        <w:rPr>
          <w:i/>
          <w:sz w:val="22"/>
        </w:rPr>
        <w:t>Figure 4.1: Model Training History and Loss Convergence</w:t>
      </w:r>
    </w:p>
    <w:p>
      <w:r>
        <w:br/>
      </w:r>
    </w:p>
    <w:p>
      <w:pPr>
        <w:pStyle w:val="Heading2"/>
        <w:spacing w:line="360" w:lineRule="auto"/>
        <w:jc w:val="both"/>
      </w:pPr>
      <w:r>
        <w:t>4.3 Prediction Distribution Analysis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2714818"/>
            <wp:docPr id="5" name="Picture 5"/>
            <wp:cNvGraphicFramePr>
              <a:graphicFrameLocks noChangeAspect="1"/>
            </wp:cNvGraphicFramePr>
            <a:graphic>
              <a:graphicData uri="http://schemas.openxmlformats.org/drawingml/2006/picture">
                <pic:pic>
                  <pic:nvPicPr>
                    <pic:cNvPr id="0" name="03_prediction_distribution.png"/>
                    <pic:cNvPicPr/>
                  </pic:nvPicPr>
                  <pic:blipFill>
                    <a:blip r:embed="rId13"/>
                    <a:stretch>
                      <a:fillRect/>
                    </a:stretch>
                  </pic:blipFill>
                  <pic:spPr>
                    <a:xfrm>
                      <a:off x="0" y="0"/>
                      <a:ext cx="4572000" cy="2714818"/>
                    </a:xfrm>
                    <a:prstGeom prst="rect"/>
                  </pic:spPr>
                </pic:pic>
              </a:graphicData>
            </a:graphic>
          </wp:inline>
        </w:drawing>
      </w:r>
    </w:p>
    <w:p>
      <w:pPr>
        <w:spacing w:line="360" w:lineRule="auto"/>
        <w:jc w:val="center"/>
      </w:pPr>
      <w:r>
        <w:rPr>
          <w:i/>
          <w:sz w:val="22"/>
        </w:rPr>
        <w:t>Figure 4.2: Prediction Distribution across risk boundaries</w:t>
      </w:r>
    </w:p>
    <w:p>
      <w:r>
        <w:br/>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4.4 Grid Risk Heatmap and Spatial Accuracy</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3703125"/>
            <wp:docPr id="6" name="Picture 6"/>
            <wp:cNvGraphicFramePr>
              <a:graphicFrameLocks noChangeAspect="1"/>
            </wp:cNvGraphicFramePr>
            <a:graphic>
              <a:graphicData uri="http://schemas.openxmlformats.org/drawingml/2006/picture">
                <pic:pic>
                  <pic:nvPicPr>
                    <pic:cNvPr id="0" name="04_grid_risk_heatmap.png"/>
                    <pic:cNvPicPr/>
                  </pic:nvPicPr>
                  <pic:blipFill>
                    <a:blip r:embed="rId14"/>
                    <a:stretch>
                      <a:fillRect/>
                    </a:stretch>
                  </pic:blipFill>
                  <pic:spPr>
                    <a:xfrm>
                      <a:off x="0" y="0"/>
                      <a:ext cx="4572000" cy="3703125"/>
                    </a:xfrm>
                    <a:prstGeom prst="rect"/>
                  </pic:spPr>
                </pic:pic>
              </a:graphicData>
            </a:graphic>
          </wp:inline>
        </w:drawing>
      </w:r>
    </w:p>
    <w:p>
      <w:pPr>
        <w:spacing w:line="360" w:lineRule="auto"/>
        <w:jc w:val="center"/>
      </w:pPr>
      <w:r>
        <w:rPr>
          <w:i/>
          <w:sz w:val="22"/>
        </w:rPr>
        <w:t>Figure 4.3: High-fidelity Grid Risk Heatmap projected on topology</w:t>
      </w:r>
    </w:p>
    <w:p>
      <w:r>
        <w:br/>
      </w:r>
    </w:p>
    <w:p>
      <w:pPr>
        <w:pStyle w:val="Heading2"/>
        <w:spacing w:line="360" w:lineRule="auto"/>
        <w:jc w:val="both"/>
      </w:pPr>
      <w:r>
        <w:t>4.5 Comparative Baseline Performance</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4050270"/>
            <wp:docPr id="7" name="Picture 7"/>
            <wp:cNvGraphicFramePr>
              <a:graphicFrameLocks noChangeAspect="1"/>
            </wp:cNvGraphicFramePr>
            <a:graphic>
              <a:graphicData uri="http://schemas.openxmlformats.org/drawingml/2006/picture">
                <pic:pic>
                  <pic:nvPicPr>
                    <pic:cNvPr id="0" name="06_roc_curve.png"/>
                    <pic:cNvPicPr/>
                  </pic:nvPicPr>
                  <pic:blipFill>
                    <a:blip r:embed="rId15"/>
                    <a:stretch>
                      <a:fillRect/>
                    </a:stretch>
                  </pic:blipFill>
                  <pic:spPr>
                    <a:xfrm>
                      <a:off x="0" y="0"/>
                      <a:ext cx="4572000" cy="4050270"/>
                    </a:xfrm>
                    <a:prstGeom prst="rect"/>
                  </pic:spPr>
                </pic:pic>
              </a:graphicData>
            </a:graphic>
          </wp:inline>
        </w:drawing>
      </w:r>
    </w:p>
    <w:p>
      <w:pPr>
        <w:spacing w:line="360" w:lineRule="auto"/>
        <w:jc w:val="center"/>
      </w:pPr>
      <w:r>
        <w:rPr>
          <w:i/>
          <w:sz w:val="22"/>
        </w:rPr>
        <w:t>Figure 4.4: Receiver Operating Characteristic (ROC) curve analysis</w:t>
      </w:r>
    </w:p>
    <w:p>
      <w:r>
        <w:br/>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r>
    </w:p>
    <w:p>
      <w:pPr>
        <w:jc w:val="center"/>
      </w:pPr>
      <w:r>
        <w:drawing>
          <wp:inline xmlns:a="http://schemas.openxmlformats.org/drawingml/2006/main" xmlns:pic="http://schemas.openxmlformats.org/drawingml/2006/picture">
            <wp:extent cx="4572000" cy="2724073"/>
            <wp:docPr id="8" name="Picture 8"/>
            <wp:cNvGraphicFramePr>
              <a:graphicFrameLocks noChangeAspect="1"/>
            </wp:cNvGraphicFramePr>
            <a:graphic>
              <a:graphicData uri="http://schemas.openxmlformats.org/drawingml/2006/picture">
                <pic:pic>
                  <pic:nvPicPr>
                    <pic:cNvPr id="0" name="07_baseline_comparison.png"/>
                    <pic:cNvPicPr/>
                  </pic:nvPicPr>
                  <pic:blipFill>
                    <a:blip r:embed="rId16"/>
                    <a:stretch>
                      <a:fillRect/>
                    </a:stretch>
                  </pic:blipFill>
                  <pic:spPr>
                    <a:xfrm>
                      <a:off x="0" y="0"/>
                      <a:ext cx="4572000" cy="2724073"/>
                    </a:xfrm>
                    <a:prstGeom prst="rect"/>
                  </pic:spPr>
                </pic:pic>
              </a:graphicData>
            </a:graphic>
          </wp:inline>
        </w:drawing>
      </w:r>
    </w:p>
    <w:p>
      <w:pPr>
        <w:spacing w:line="360" w:lineRule="auto"/>
        <w:jc w:val="center"/>
      </w:pPr>
      <w:r>
        <w:rPr>
          <w:i/>
          <w:sz w:val="22"/>
        </w:rPr>
        <w:t>Figure 4.5: Baseline Comparison against classical Graph Neural Networks</w:t>
      </w:r>
    </w:p>
    <w:p>
      <w:r>
        <w:br/>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type="page"/>
      </w:r>
    </w:p>
    <w:p>
      <w:pPr>
        <w:pStyle w:val="Heading1"/>
        <w:spacing w:line="360" w:lineRule="auto"/>
        <w:jc w:val="center"/>
      </w:pPr>
      <w:r>
        <w:t>CHAPTER 5 - CONCLUSION AND FUTURE ENHANCEMENT</w:t>
      </w:r>
    </w:p>
    <w:p>
      <w:pPr>
        <w:pStyle w:val="Heading2"/>
        <w:spacing w:line="360" w:lineRule="auto"/>
        <w:jc w:val="both"/>
      </w:pPr>
      <w:r>
        <w:t>5.1 Summary of Contributions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5.2 Limitations of the Current Approach</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pStyle w:val="Heading2"/>
        <w:spacing w:line="360" w:lineRule="auto"/>
        <w:jc w:val="both"/>
      </w:pPr>
      <w:r>
        <w:t>5.3 Future Hardware and Scaling Perspectives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pPr>
        <w:spacing w:line="360" w:lineRule="auto"/>
        <w:jc w:val="both"/>
      </w:pPr>
      <w:r>
        <w:t>The stability and reliability of electrical power grids are critical to modern civilization. As power networks grow in complexity, integrating renewable energy sources and distributed generation, the state space of possible operational conditions expands exponentially. Traditional methodologies for grid reliability analysis primarily rely on static load-flow equations and deterministic contingency analysis, which are often computationally expensive and struggle to capture the highly non-linear, stochastic nature of modern smart grids.</w:t>
      </w:r>
    </w:p>
    <w:p>
      <w:pPr>
        <w:spacing w:line="360" w:lineRule="auto"/>
        <w:jc w:val="both"/>
      </w:pPr>
      <w:r>
        <w:t>A power grid can be naturally modeled as a complex graph, where buses represent nodes and transmission lines represent edges. Each node is characterized by a set of dynamic features, including active power, reactive power, voltage magnitude, and phase angle. Graph Convolutional Networks (GCNs) have recently emerged as a powerful tool for modeling such non-Euclidean data structures, enabling the aggregation of localized spatial features to predict global grid states.</w:t>
      </w:r>
    </w:p>
    <w:p>
      <w:pPr>
        <w:spacing w:line="360" w:lineRule="auto"/>
        <w:jc w:val="both"/>
      </w:pPr>
      <w:r>
        <w:t>Despite their success, classical GCNs face significant limitations when scaled to massive, highly interconnected networks. The curse of dimensionality becomes apparent as the feature space grows, leading to issues such as over-smoothing, where node representations become indistinguishable after successive message-passing layers. Furthermore, classical neural networks are fundamentally bounded by polynomial time complexity in exploring combinatorial state spaces, a critical bottleneck in real-time grid contingency analysis.</w:t>
      </w:r>
    </w:p>
    <w:p>
      <w:pPr>
        <w:spacing w:line="360" w:lineRule="auto"/>
        <w:jc w:val="both"/>
      </w:pPr>
      <w:r>
        <w:t>Quantum Computing offers a paradigm shift in processing complex, high-dimensional data. By leveraging quantum mechanical phenomena such as superposition and entanglement, quantum computers can theoretically perform certain computations exponentially faster than their classical counterparts. Quantum Machine Learning (QML) seeks to harness this computational advantage by developing algorithms that process classical data within a quantum Hilbert space.</w:t>
      </w:r>
    </w:p>
    <w:p>
      <w:pPr>
        <w:spacing w:line="360" w:lineRule="auto"/>
        <w:jc w:val="both"/>
      </w:pPr>
      <w:r>
        <w:t>In a Quantum Graph Convolutional Network (QGCN), classical nodal features are mapped into quantum states using parameterized quantum circuits, often referred to as quantum feature maps or quantum embeddings. This mapping projects the data into a high-dimensional feature space where non-linear correlations can be captured more efficiently. The inherent parallelism of quantum superposition allows the model to evaluate multiple state trajectories simultaneously.</w:t>
      </w:r>
    </w:p>
    <w:p>
      <w:pPr>
        <w:spacing w:line="360" w:lineRule="auto"/>
        <w:jc w:val="both"/>
      </w:pPr>
      <w:r>
        <w:t>The entanglement between qubits in the quantum embedding layer enables the representation of complex, multi-body interactions that are ubiquitous in power grid dynamics. For instance, a failure at a single transmission line can cause cascading overloads across distant parts of the network. Entangled quantum states naturally capture these non-local correlations, providing a more expressive representation of the grid's operational health compared to classical feature vectors.</w:t>
      </w:r>
    </w:p>
    <w:p>
      <w:pPr>
        <w:spacing w:line="360" w:lineRule="auto"/>
        <w:jc w:val="both"/>
      </w:pPr>
      <w:r>
        <w:t>Variational Quantum Circuits (VQCs) are a class of quantum algorithms particularly well-suited for near-term quantum hardware (NISQ devices). These circuits consist of a sequence of parameterized quantum gates, such as rotation and CNOT gates, whose parameters are optimized iteratively using classical optimization algorithms. In our hybrid QGCN architecture, VQCs are utilized to learn the optimal quantum representation of the grid features.</w:t>
      </w:r>
    </w:p>
    <w:p>
      <w:pPr>
        <w:spacing w:line="360" w:lineRule="auto"/>
        <w:jc w:val="both"/>
      </w:pPr>
      <w:r>
        <w:t>The integration of VQCs within a classical deep learning framework forms the backbone of our hybrid approach. The quantum circuit processes the input features and outputs expectation values of specific quantum observables. These expectation values are then fed into a classical message-passing layer, which performs the spatial aggregation across the grid topology. This hybrid design maximizes the representational capacity of quantum circuits while maintaining the scalability of classical graph neural networks.</w:t>
      </w:r>
    </w:p>
    <w:p>
      <w:pPr>
        <w:spacing w:line="360" w:lineRule="auto"/>
        <w:jc w:val="both"/>
      </w:pPr>
      <w:r>
        <w:t>One of the primary challenges in deploying QML algorithms is the constraint imposed by current NISQ hardware, including limited qubit coherence times and high gate error rates. To mitigate these issues, our architecture employs angle embedding, a technique that requires fewer qubits by encoding classical values into the rotation angles of single-qubit gates. This approach is highly efficient for embedding continuous variables like voltage and phase angles.</w:t>
      </w:r>
    </w:p>
    <w:p>
      <w:pPr>
        <w:spacing w:line="360" w:lineRule="auto"/>
        <w:jc w:val="both"/>
      </w:pPr>
      <w:r>
        <w:t>A rigorous evaluation of the QGCN model involves simulating power grid topologies under various load conditions and contingency scenarios. Using standard benchmark systems, such as the IEEE 14-bus and 118-bus networks, we generate synthetic operational data infused with random perturbations to simulate realistic grid fluctuations. The model's objective is to accurately classify the grid's risk state, identifying potential cascading failures before they occur.</w:t>
      </w:r>
    </w:p>
    <w:p>
      <w:pPr>
        <w:spacing w:line="360" w:lineRule="auto"/>
        <w:jc w:val="both"/>
      </w:pPr>
      <w:r>
        <w:t>The comparative analysis between the hybrid QGCN and classical baseline models reveals a distinct advantage in the quantum approach. Not only does the QGCN converge more rapidly during training, but it also demonstrates superior generalization capabilities when exposed to unseen grid topologies. The quantum feature space provides a richer decision boundary, allowing the classifier to separate stable and unstable states with higher precision.</w:t>
      </w:r>
    </w:p>
    <w:p>
      <w:pPr>
        <w:spacing w:line="360" w:lineRule="auto"/>
        <w:jc w:val="both"/>
      </w:pPr>
      <w:r>
        <w:t>Spatial risk analysis is a crucial component of our methodology. By analyzing the risk heatmaps generated by the model, operators can visually identify vulnerable nodes and transmission corridors. The model's ability to localize risk is directly attributed to the spatial aggregation properties of the graph convolutional layers, augmented by the deep feature representation provided by the quantum embedding.</w:t>
      </w:r>
    </w:p>
    <w:p>
      <w:pPr>
        <w:spacing w:line="360" w:lineRule="auto"/>
        <w:jc w:val="both"/>
      </w:pPr>
      <w:r>
        <w:t>The transition towards fully quantum-native smart grid management systems requires continuous advancements in both quantum hardware and algorithmic design. Future iterations of this project will explore the use of quantum amplitude amplification and quantum phase estimation to further accelerate the analysis of large-scale grid networks. Additionally, deploying the model on actual quantum processing units (QPUs) will provide empirical insights into the impact of hardware noise on model performance.</w:t>
      </w:r>
    </w:p>
    <w:p>
      <w:pPr>
        <w:spacing w:line="360" w:lineRule="auto"/>
        <w:jc w:val="both"/>
      </w:pPr>
      <w:r>
        <w:t>In conclusion, the application of Quantum Graph Convolutional Networks to power grid reliability represents a significant step forward in critical infrastructure management. By bridging the gap between quantum physics and classical graph theory, this research opens new avenues for developing highly resilient, intelligent energy networks capable of adapting to the complexities of the 21st century.</w:t>
      </w:r>
    </w:p>
    <w:p>
      <w:pPr>
        <w:spacing w:line="360" w:lineRule="auto"/>
        <w:jc w:val="both"/>
      </w:pPr>
      <w:r>
        <w:t>Ensuring the security and stability of the power grid is synonymous with ensuring the stability of national security. The mathematical frameworks developed in this project serve as a foundation for next-generation SCADA systems, where real-time telemetry is processed at quantum speeds to deliver instantaneous, actionable insights to grid operators.</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pPr>
        <w:spacing w:line="360" w:lineRule="auto"/>
        <w:jc w:val="both"/>
      </w:pPr>
      <w:r>
        <w:t>[6] A. Abbas et al., "The power of quantum neural networks," Nature Computational Science, vol. 1, pp. 403-409, 2021.</w:t>
      </w:r>
    </w:p>
    <w:p>
      <w:pPr>
        <w:spacing w:line="360" w:lineRule="auto"/>
        <w:jc w:val="both"/>
      </w:pPr>
      <w:r>
        <w:t>[7] P. W. Shor, "Polynomial-Time Algorithms for Prime Factorization and Discrete Logarithms on a Quantum Computer," SIAM J. Comput., 26(5), 1484-1509, 1997.</w:t>
      </w:r>
    </w:p>
    <w:p>
      <w:pPr>
        <w:spacing w:line="360" w:lineRule="auto"/>
        <w:jc w:val="both"/>
      </w:pPr>
      <w:r>
        <w:t>[8] L. Banchi et al., "Empirical accuracy in quantum machine learning," Phys. Rev. A, 103, 032410, 2021.</w:t>
      </w:r>
    </w:p>
    <w:p>
      <w:pPr>
        <w:spacing w:line="360" w:lineRule="auto"/>
        <w:jc w:val="both"/>
      </w:pPr>
      <w:r>
        <w:t>[9] J. Preskill, "Quantum Computing in the NISQ era and beyond," Quantum, 2, 79, 2018.</w:t>
      </w:r>
    </w:p>
    <w:p>
      <w:pPr>
        <w:spacing w:line="360" w:lineRule="auto"/>
        <w:jc w:val="both"/>
      </w:pPr>
      <w:r>
        <w:t>[10] Y. Cao et al., "Quantum Chemistry in the Age of Quantum Computing," Chem. Rev., 119(19), 10856-10915, 2019.</w:t>
      </w:r>
    </w:p>
    <w:p>
      <w:pPr>
        <w:spacing w:line="360" w:lineRule="auto"/>
        <w:jc w:val="both"/>
      </w:pPr>
      <w:r>
        <w:t>[11] M. Cerezo et al., "Variational quantum algorithms," Nature Reviews Physics, 3, 625-644, 2021.</w:t>
      </w:r>
    </w:p>
    <w:p>
      <w:pPr>
        <w:spacing w:line="360" w:lineRule="auto"/>
        <w:jc w:val="both"/>
      </w:pPr>
      <w:r>
        <w:t>[12] S. Lloyd, "Universal Quantum Simulators," Science, 273(5278), 1073-1078, 1996.</w:t>
      </w:r>
    </w:p>
    <w:p>
      <w:pPr>
        <w:spacing w:line="360" w:lineRule="auto"/>
        <w:jc w:val="both"/>
      </w:pPr>
      <w:r>
        <w:t>[13] E. Farhi et al., "A Quantum Approximate Optimization Algorithm," arXiv:1411.4028, 2014.</w:t>
      </w:r>
    </w:p>
    <w:p>
      <w:pPr>
        <w:spacing w:line="360" w:lineRule="auto"/>
        <w:jc w:val="both"/>
      </w:pPr>
      <w:r>
        <w:t>[14] H. L. Huang et al., "Superconducting quantum computing: a review," Science China Information Sciences, 63, 1-32, 2020.</w:t>
      </w:r>
    </w:p>
    <w:p>
      <w:pPr>
        <w:spacing w:line="360" w:lineRule="auto"/>
        <w:jc w:val="both"/>
      </w:pPr>
      <w:r>
        <w:t>[15] F. Arute et al., "Quantum supremacy using a programmable superconducting processor," Nature, 574, 505-510, 2019.</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