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spacing w:line="360" w:lineRule="auto"/>
        <w:jc w:val="center"/>
      </w:pPr>
      <w:r>
        <w:rPr>
          <w:b/>
          <w:sz w:val="36"/>
        </w:rPr>
        <w:t>QUANTUM GRAPH CONVOLUTIONAL NETWORKS FOR POWER GRID RELIABILITY</w:t>
      </w:r>
    </w:p>
    <w:p>
      <w:r>
        <w:br/>
      </w:r>
    </w:p>
    <w:p>
      <w:pPr>
        <w:spacing w:line="360" w:lineRule="auto"/>
        <w:jc w:val="center"/>
      </w:pPr>
      <w:r>
        <w:rPr>
          <w:b/>
          <w:sz w:val="28"/>
        </w:rPr>
        <w:t>21CSP302L- PROJECT</w:t>
      </w:r>
    </w:p>
    <w:p>
      <w:r>
        <w:br/>
      </w:r>
    </w:p>
    <w:p>
      <w:pPr>
        <w:spacing w:line="360" w:lineRule="auto"/>
        <w:jc w:val="center"/>
      </w:pPr>
      <w:r>
        <w:rPr>
          <w:sz w:val="28"/>
        </w:rPr>
        <w:t>Submitted by</w:t>
      </w:r>
    </w:p>
    <w:p>
      <w:pPr>
        <w:spacing w:line="360" w:lineRule="auto"/>
        <w:jc w:val="center"/>
      </w:pPr>
      <w:r>
        <w:rPr>
          <w:i/>
          <w:sz w:val="28"/>
        </w:rPr>
        <w:t>Udai Ratinam G [RA2311003011971]</w:t>
      </w:r>
    </w:p>
    <w:p>
      <w:r>
        <w:br/>
      </w:r>
    </w:p>
    <w:p>
      <w:pPr>
        <w:spacing w:line="360" w:lineRule="auto"/>
        <w:jc w:val="center"/>
      </w:pPr>
      <w:r>
        <w:rPr>
          <w:sz w:val="32"/>
        </w:rPr>
        <w:t>Under the Guidance of</w:t>
      </w:r>
    </w:p>
    <w:p>
      <w:pPr>
        <w:spacing w:line="360" w:lineRule="auto"/>
        <w:jc w:val="center"/>
      </w:pPr>
      <w:r>
        <w:rPr>
          <w:i/>
          <w:sz w:val="28"/>
        </w:rPr>
        <w:t>Dr. Nalini S</w:t>
      </w:r>
    </w:p>
    <w:p>
      <w:pPr>
        <w:spacing w:line="360" w:lineRule="auto"/>
        <w:jc w:val="center"/>
      </w:pPr>
      <w:r>
        <w:rPr>
          <w:sz w:val="32"/>
        </w:rPr>
        <w:t>(Assistant Professor, Department of Computing Technologies)</w:t>
      </w:r>
    </w:p>
    <w:p>
      <w:r>
        <w:br/>
      </w:r>
    </w:p>
    <w:p>
      <w:pPr>
        <w:spacing w:line="360" w:lineRule="auto"/>
        <w:jc w:val="center"/>
      </w:pPr>
      <w:r>
        <w:rPr>
          <w:sz w:val="24"/>
        </w:rPr>
        <w:t>in partial fulfillment of the requirements for the degree of</w:t>
      </w:r>
    </w:p>
    <w:p>
      <w:r>
        <w:br/>
      </w:r>
    </w:p>
    <w:p>
      <w:pPr>
        <w:spacing w:line="360" w:lineRule="auto"/>
        <w:jc w:val="center"/>
      </w:pPr>
      <w:r>
        <w:rPr>
          <w:b/>
          <w:sz w:val="28"/>
        </w:rPr>
        <w:t>BACHELOR OF TECHNOLOGY</w:t>
      </w:r>
    </w:p>
    <w:p>
      <w:pPr>
        <w:spacing w:line="360" w:lineRule="auto"/>
        <w:jc w:val="center"/>
      </w:pPr>
      <w:r>
        <w:rPr>
          <w:sz w:val="28"/>
        </w:rPr>
        <w:t>in</w:t>
      </w:r>
    </w:p>
    <w:p>
      <w:pPr>
        <w:spacing w:line="360" w:lineRule="auto"/>
        <w:jc w:val="center"/>
      </w:pPr>
      <w:r>
        <w:rPr>
          <w:b/>
          <w:sz w:val="28"/>
        </w:rPr>
        <w:t>COMPUTER SCIENCE ENGINEERING</w:t>
      </w:r>
    </w:p>
    <w:p>
      <w:r>
        <w:br/>
        <w:br/>
        <w:br/>
      </w:r>
    </w:p>
    <w:p>
      <w:pPr>
        <w:spacing w:line="360" w:lineRule="auto"/>
        <w:jc w:val="center"/>
      </w:pPr>
      <w:r>
        <w:rPr>
          <w:sz w:val="32"/>
        </w:rPr>
        <w:t>DEPARTMENT OF COMPUTATIONAL INTELLIGENCE COLLEGE OF ENGINEERING AND TECHNOLOGY</w:t>
      </w:r>
    </w:p>
    <w:p>
      <w:pPr>
        <w:spacing w:line="360" w:lineRule="auto"/>
        <w:jc w:val="center"/>
      </w:pPr>
      <w:r>
        <w:rPr>
          <w:sz w:val="32"/>
        </w:rPr>
        <w:t>SRM INSTITUTE OF SCIENCE AND TECHNOLOGY</w:t>
      </w:r>
    </w:p>
    <w:p>
      <w:pPr>
        <w:spacing w:line="360" w:lineRule="auto"/>
        <w:jc w:val="center"/>
      </w:pPr>
      <w:r>
        <w:rPr>
          <w:sz w:val="32"/>
        </w:rPr>
        <w:t>KATTANKULATHUR- 603 203</w:t>
      </w:r>
    </w:p>
    <w:p>
      <w:pPr>
        <w:spacing w:line="360" w:lineRule="auto"/>
        <w:jc w:val="center"/>
      </w:pPr>
      <w:r>
        <w:rPr>
          <w:sz w:val="28"/>
        </w:rPr>
        <w:t>MAY 2026</w:t>
      </w:r>
    </w:p>
    <w:p>
      <w:r>
        <w:br w:type="page"/>
      </w:r>
    </w:p>
    <w:p>
      <w:pPr>
        <w:spacing w:line="360" w:lineRule="auto"/>
        <w:jc w:val="center"/>
      </w:pPr>
      <w:r>
        <w:rPr>
          <w:sz w:val="28"/>
        </w:rPr>
        <w:t>Department of Computational Intelligence</w:t>
      </w:r>
    </w:p>
    <w:p>
      <w:pPr>
        <w:spacing w:line="360" w:lineRule="auto"/>
        <w:jc w:val="center"/>
      </w:pPr>
      <w:r>
        <w:rPr>
          <w:sz w:val="28"/>
        </w:rPr>
        <w:t>SRM Institute of Science &amp; Technology</w:t>
      </w:r>
    </w:p>
    <w:p>
      <w:pPr>
        <w:spacing w:line="360" w:lineRule="auto"/>
        <w:jc w:val="center"/>
      </w:pPr>
      <w:r>
        <w:rPr>
          <w:b/>
          <w:sz w:val="28"/>
        </w:rPr>
        <w:t>Own Work Declaration Form</w:t>
      </w:r>
    </w:p>
    <w:p>
      <w:r>
        <w:br/>
      </w:r>
    </w:p>
    <w:p>
      <w:pPr>
        <w:spacing w:line="360" w:lineRule="auto"/>
        <w:jc w:val="both"/>
      </w:pPr>
      <w:r>
        <w:rPr>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line="360" w:lineRule="auto"/>
        <w:jc w:val="both"/>
      </w:pPr>
      <w:r>
        <w:rPr>
          <w:sz w:val="24"/>
        </w:rPr>
        <w:t>To be completed by the student for all assessments</w:t>
      </w:r>
    </w:p>
    <w:p>
      <w:pPr>
        <w:spacing w:line="360" w:lineRule="auto"/>
        <w:jc w:val="both"/>
      </w:pPr>
      <w:r>
        <w:rPr>
          <w:sz w:val="24"/>
        </w:rPr>
        <w:t>Degree/ Course    : B.Tech CSE</w:t>
      </w:r>
    </w:p>
    <w:p>
      <w:pPr>
        <w:spacing w:line="360" w:lineRule="auto"/>
        <w:jc w:val="both"/>
      </w:pPr>
      <w:r>
        <w:rPr>
          <w:sz w:val="24"/>
        </w:rPr>
        <w:t>Student Name      : Udai Ratinam G</w:t>
      </w:r>
    </w:p>
    <w:p>
      <w:pPr>
        <w:spacing w:line="360" w:lineRule="auto"/>
        <w:jc w:val="both"/>
      </w:pPr>
      <w:r>
        <w:rPr>
          <w:sz w:val="24"/>
        </w:rPr>
        <w:t>Registration Number : RA2311003011971</w:t>
      </w:r>
    </w:p>
    <w:p>
      <w:pPr>
        <w:spacing w:line="360" w:lineRule="auto"/>
        <w:jc w:val="both"/>
      </w:pPr>
      <w:r>
        <w:rPr>
          <w:sz w:val="24"/>
        </w:rPr>
        <w:t>Title of Work     : Quantum Graph Convolutional Networks for Power Grid Reliability</w:t>
      </w:r>
    </w:p>
    <w:p>
      <w:r>
        <w:br/>
      </w:r>
    </w:p>
    <w:p>
      <w:pPr>
        <w:spacing w:line="360" w:lineRule="auto"/>
        <w:jc w:val="both"/>
      </w:pPr>
      <w:r>
        <w:rPr>
          <w:sz w:val="24"/>
        </w:rPr>
        <w:t>I hereby certify that this assessment compiles with the University's Rules and Regulations relating to Academic misconduct and plagiarism.</w:t>
      </w:r>
    </w:p>
    <w:p>
      <w:pPr>
        <w:spacing w:line="360" w:lineRule="auto"/>
        <w:jc w:val="both"/>
      </w:pPr>
      <w:r>
        <w:rPr>
          <w:sz w:val="24"/>
        </w:rPr>
        <w:t>I confirm that all the work contained in this assessment is my own except where indicated, and that I have met the following conditions:</w:t>
      </w:r>
    </w:p>
    <w:p>
      <w:pPr>
        <w:spacing w:line="360" w:lineRule="auto"/>
        <w:jc w:val="both"/>
      </w:pPr>
      <w:r>
        <w:rPr>
          <w:sz w:val="24"/>
        </w:rPr>
        <w:t>1. Clearly referenced / listed all sources as appropriate.</w:t>
      </w:r>
    </w:p>
    <w:p>
      <w:pPr>
        <w:spacing w:line="360" w:lineRule="auto"/>
        <w:jc w:val="both"/>
      </w:pPr>
      <w:r>
        <w:rPr>
          <w:sz w:val="24"/>
        </w:rPr>
        <w:t>2. Referenced and put in inverted commas all quoted text.</w:t>
      </w:r>
    </w:p>
    <w:p>
      <w:pPr>
        <w:spacing w:line="360" w:lineRule="auto"/>
        <w:jc w:val="both"/>
      </w:pPr>
      <w:r>
        <w:rPr>
          <w:sz w:val="24"/>
        </w:rPr>
        <w:t>3. Given the sources of all pictures, data etc. that are not my own.</w:t>
      </w:r>
    </w:p>
    <w:p>
      <w:pPr>
        <w:spacing w:line="360" w:lineRule="auto"/>
        <w:jc w:val="both"/>
      </w:pPr>
      <w:r>
        <w:rPr>
          <w:sz w:val="24"/>
        </w:rPr>
        <w:t>4. Not made any use of the report of any other student.</w:t>
      </w:r>
    </w:p>
    <w:p>
      <w:pPr>
        <w:spacing w:line="360" w:lineRule="auto"/>
        <w:jc w:val="both"/>
      </w:pPr>
      <w:r>
        <w:rPr>
          <w:sz w:val="24"/>
        </w:rPr>
        <w:t>5. Acknowledged in appropriate places any help that I have received from others.</w:t>
      </w:r>
    </w:p>
    <w:p>
      <w:r>
        <w:br/>
        <w:br/>
        <w:br/>
      </w:r>
    </w:p>
    <w:p>
      <w:pPr>
        <w:spacing w:line="360" w:lineRule="auto"/>
        <w:jc w:val="right"/>
      </w:pPr>
      <w:r>
        <w:rPr>
          <w:sz w:val="24"/>
        </w:rPr>
        <w:t>Signature: ______________________</w:t>
      </w:r>
    </w:p>
    <w:p>
      <w:pPr>
        <w:spacing w:line="360" w:lineRule="auto"/>
        <w:jc w:val="right"/>
      </w:pPr>
      <w:r>
        <w:rPr>
          <w:sz w:val="24"/>
        </w:rPr>
        <w:t>Date: ______________________</w:t>
      </w:r>
    </w:p>
    <w:p>
      <w:r>
        <w:br w:type="page"/>
      </w:r>
    </w:p>
    <w:p>
      <w:pPr>
        <w:spacing w:line="360" w:lineRule="auto"/>
        <w:jc w:val="center"/>
      </w:pPr>
      <w:r>
        <w:rPr>
          <w:b/>
          <w:sz w:val="36"/>
        </w:rPr>
        <w:t>SRM INSTITUTE OF SCIENCE AND TECHNOLOGY KATTANKULATHUR - 603 203</w:t>
      </w:r>
    </w:p>
    <w:p>
      <w:pPr>
        <w:spacing w:line="360" w:lineRule="auto"/>
        <w:jc w:val="center"/>
      </w:pPr>
      <w:r>
        <w:rPr>
          <w:b/>
          <w:sz w:val="32"/>
        </w:rPr>
        <w:t>BONAFIDE CERTIFICATE</w:t>
      </w:r>
    </w:p>
    <w:p>
      <w:r>
        <w:br/>
        <w:br/>
      </w:r>
    </w:p>
    <w:p>
      <w:pPr>
        <w:spacing w:line="360" w:lineRule="auto"/>
        <w:jc w:val="both"/>
      </w:pPr>
      <w:r>
        <w:rPr>
          <w:sz w:val="28"/>
        </w:rPr>
        <w:t>Certified that 21CSP302L - Project report titled "QUANTUM GRAPH CONVOLUTIONAL NETWORKS FOR POWER GRID RELIABILITY" is the bonafide work of "Udai Ratinam G [RA2311003011971]"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r>
        <w:br/>
        <w:br/>
        <w:br/>
        <w:br/>
      </w:r>
    </w:p>
    <w:p>
      <w:pPr>
        <w:spacing w:line="360" w:lineRule="auto"/>
        <w:jc w:val="both"/>
      </w:pPr>
      <w:r>
        <w:rPr>
          <w:sz w:val="24"/>
        </w:rPr>
        <w:t>&lt;&lt;Signature&gt;&gt;                                      &lt;&lt;Signature&gt;&gt;</w:t>
      </w:r>
    </w:p>
    <w:p>
      <w:pPr>
        <w:spacing w:line="360" w:lineRule="auto"/>
        <w:jc w:val="both"/>
      </w:pPr>
      <w:r>
        <w:rPr>
          <w:sz w:val="24"/>
        </w:rPr>
        <w:t>EXAMINER 1                                         EXAMINER 2</w:t>
      </w:r>
    </w:p>
    <w:p>
      <w:pPr>
        <w:spacing w:line="360" w:lineRule="auto"/>
        <w:jc w:val="both"/>
      </w:pPr>
      <w:r>
        <w:rPr>
          <w:sz w:val="24"/>
        </w:rPr>
        <w:t>Name &amp; Signature                                   Name &amp; Signature</w:t>
      </w:r>
    </w:p>
    <w:p>
      <w:r>
        <w:br w:type="page"/>
      </w:r>
    </w:p>
    <w:p>
      <w:pPr>
        <w:spacing w:line="360" w:lineRule="auto"/>
        <w:jc w:val="center"/>
      </w:pPr>
      <w:r>
        <w:rPr>
          <w:b/>
          <w:sz w:val="32"/>
        </w:rPr>
        <w:t>ACKNOWLEDGEMENTS</w:t>
      </w:r>
    </w:p>
    <w:p>
      <w:r>
        <w:br/>
      </w:r>
    </w:p>
    <w:p>
      <w:pPr>
        <w:spacing w:line="360" w:lineRule="auto"/>
        <w:jc w:val="both"/>
      </w:pPr>
      <w:r>
        <w:t>We express our humble gratitude to Dr. C. Muthamizhchelvan, Vice-Chancellor, SRM Institute of Science and Technology, for the facilities extended for the project work and his continued support.</w:t>
      </w:r>
    </w:p>
    <w:p>
      <w:pPr>
        <w:spacing w:line="360" w:lineRule="auto"/>
        <w:jc w:val="both"/>
      </w:pPr>
      <w:r>
        <w:t>We extend our sincere thanks to Dr. Leenus Jesu Martin M, Dean-CET, SRM Institute of Science and Technology, for his invaluable support.</w:t>
      </w:r>
    </w:p>
    <w:p>
      <w:pPr>
        <w:spacing w:line="360" w:lineRule="auto"/>
        <w:jc w:val="both"/>
      </w:pPr>
      <w:r>
        <w:t>Our inexpressible respect and thanks to our guide, Dr. Nalini S, Assistant Professor,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w:t>
      </w:r>
    </w:p>
    <w:p>
      <w:pPr>
        <w:spacing w:line="360" w:lineRule="auto"/>
        <w:jc w:val="both"/>
      </w:pPr>
      <w:r>
        <w:t>Finally, we would like to thank our parents, family members, and friends for their unconditional love, constant support and encouragement.</w:t>
      </w:r>
    </w:p>
    <w:p>
      <w:r>
        <w:br/>
        <w:br/>
      </w:r>
    </w:p>
    <w:p>
      <w:pPr>
        <w:spacing w:line="360" w:lineRule="auto"/>
        <w:jc w:val="right"/>
      </w:pPr>
      <w:r>
        <w:t>Author</w:t>
      </w:r>
    </w:p>
    <w:p>
      <w:pPr>
        <w:spacing w:line="360" w:lineRule="auto"/>
        <w:jc w:val="right"/>
      </w:pPr>
      <w:r>
        <w:t>Udai Ratinam G</w:t>
      </w:r>
    </w:p>
    <w:p>
      <w:r>
        <w:br w:type="page"/>
      </w:r>
    </w:p>
    <w:p>
      <w:pPr>
        <w:spacing w:line="360" w:lineRule="auto"/>
        <w:jc w:val="center"/>
      </w:pPr>
      <w:r>
        <w:rPr>
          <w:b/>
          <w:sz w:val="32"/>
        </w:rPr>
        <w:t>ABSTRACT</w:t>
      </w:r>
    </w:p>
    <w:p>
      <w:r>
        <w:br/>
      </w:r>
    </w:p>
    <w:p>
      <w:pPr>
        <w:spacing w:line="360" w:lineRule="auto"/>
        <w:jc w:val="both"/>
      </w:pPr>
      <w:r>
        <w:rPr>
          <w:sz w:val="28"/>
        </w:rPr>
        <w:t xml:space="preserve">Modern power grids represent critical national infrastructure characterized by highly complex, interconnected graph topologies. Predicting reliability and preventing cascading failures in such networks is fundamentally a graph learning problem. Traditional classical models often struggle with the high-dimensional feature spaces of transmission states and the intricate web of nodal dependencies. This project introduces a novel hybrid approach: Quantum Graph Convolutional Networks (QGCN), which leverage quantum state embeddings to process smart-grid topological data. </w:t>
        <w:br/>
        <w:br/>
        <w:t xml:space="preserve">The architecture begins by constructing graph representations of grid topologies (e.g., IEEE 14-bus systems) annotated with physical telemetry such as voltage, phase, and power flows. These features are encoded into a higher-dimensional Hilbert space using parameterized quantum circuits, allowing the model to exploit quantum entanglement and superposition to capture complex non-linear correlations efficiently. A classical message-passing layer aggregates these quantum-enhanced features to predict grid reliability indices and potential failure states. </w:t>
        <w:br/>
        <w:br/>
        <w:t>Through rigorous simulation using Qiskit and PennyLane, we demonstrate that the hybrid QGCN framework successfully learns to classify hazardous grid conditions. The integration of quantum representation provides theoretical advantages in feature expressivity. This report details the software architecture, methodology, core code implementation, and empirical results of applying quantum machine learning to critical infrastructure reliability, offering a robust pipeline towards quantum-native smart grid management.</w:t>
      </w:r>
    </w:p>
    <w:p>
      <w:r>
        <w:br w:type="page"/>
      </w:r>
    </w:p>
    <w:p>
      <w:pPr>
        <w:spacing w:line="360" w:lineRule="auto"/>
        <w:jc w:val="center"/>
      </w:pPr>
      <w:r>
        <w:rPr>
          <w:b/>
          <w:sz w:val="32"/>
        </w:rPr>
        <w:t>TABLE OF CONTENTS</w:t>
      </w:r>
    </w:p>
    <w:p>
      <w:pPr>
        <w:spacing w:line="360" w:lineRule="auto"/>
        <w:jc w:val="both"/>
      </w:pPr>
      <w:r>
        <w:rPr>
          <w:sz w:val="24"/>
        </w:rPr>
        <w:t>ABSTRACT</w:t>
        <w:tab/>
        <w:tab/>
        <w:tab/>
        <w:tab/>
        <w:tab/>
        <w:tab/>
        <w:tab/>
        <w:tab/>
        <w:t>v</w:t>
      </w:r>
    </w:p>
    <w:p>
      <w:pPr>
        <w:spacing w:line="360" w:lineRule="auto"/>
        <w:jc w:val="both"/>
      </w:pPr>
      <w:r>
        <w:rPr>
          <w:sz w:val="24"/>
        </w:rPr>
        <w:t>TABLE OF CONTENTS</w:t>
        <w:tab/>
        <w:tab/>
        <w:tab/>
        <w:tab/>
        <w:tab/>
        <w:tab/>
        <w:t>vi</w:t>
      </w:r>
    </w:p>
    <w:p>
      <w:pPr>
        <w:spacing w:line="360" w:lineRule="auto"/>
        <w:jc w:val="both"/>
      </w:pPr>
      <w:r>
        <w:rPr>
          <w:sz w:val="24"/>
        </w:rPr>
        <w:t>LIST OF FIGURES</w:t>
        <w:tab/>
        <w:tab/>
        <w:tab/>
        <w:tab/>
        <w:tab/>
        <w:tab/>
        <w:tab/>
        <w:t>vii</w:t>
      </w:r>
    </w:p>
    <w:p>
      <w:pPr>
        <w:spacing w:line="360" w:lineRule="auto"/>
        <w:jc w:val="both"/>
      </w:pPr>
      <w:r>
        <w:rPr>
          <w:sz w:val="24"/>
        </w:rPr>
        <w:br/>
        <w:t>CHAPTER 1</w:t>
        <w:tab/>
        <w:t>INTRODUCTION &amp; SYSTEM ARCHITECTURE</w:t>
        <w:tab/>
        <w:t>1</w:t>
      </w:r>
    </w:p>
    <w:p>
      <w:pPr>
        <w:spacing w:line="360" w:lineRule="auto"/>
        <w:jc w:val="both"/>
      </w:pPr>
      <w:r>
        <w:rPr>
          <w:sz w:val="24"/>
        </w:rPr>
        <w:t xml:space="preserve">  1.1 Overview of the Software Pipeline</w:t>
        <w:tab/>
        <w:tab/>
        <w:tab/>
        <w:tab/>
        <w:t>2</w:t>
      </w:r>
    </w:p>
    <w:p>
      <w:pPr>
        <w:spacing w:line="360" w:lineRule="auto"/>
        <w:jc w:val="both"/>
      </w:pPr>
      <w:r>
        <w:rPr>
          <w:sz w:val="24"/>
        </w:rPr>
        <w:t xml:space="preserve">  1.2 Core Dependencies and Simulation Stack</w:t>
        <w:tab/>
        <w:tab/>
        <w:tab/>
        <w:t>4</w:t>
      </w:r>
    </w:p>
    <w:p>
      <w:pPr>
        <w:spacing w:line="360" w:lineRule="auto"/>
        <w:jc w:val="both"/>
      </w:pPr>
      <w:r>
        <w:rPr>
          <w:sz w:val="24"/>
        </w:rPr>
        <w:t xml:space="preserve">  1.3 Project Implementation Goals</w:t>
        <w:tab/>
        <w:tab/>
        <w:tab/>
        <w:tab/>
        <w:t>6</w:t>
      </w:r>
    </w:p>
    <w:p>
      <w:pPr>
        <w:spacing w:line="360" w:lineRule="auto"/>
        <w:jc w:val="both"/>
      </w:pPr>
      <w:r>
        <w:rPr>
          <w:sz w:val="24"/>
        </w:rPr>
        <w:t>CHAPTER 2</w:t>
        <w:tab/>
        <w:t>DATA MODELING &amp; GRAPH CONSTRUCTION</w:t>
        <w:tab/>
        <w:t>8</w:t>
      </w:r>
    </w:p>
    <w:p>
      <w:pPr>
        <w:spacing w:line="360" w:lineRule="auto"/>
        <w:jc w:val="both"/>
      </w:pPr>
      <w:r>
        <w:rPr>
          <w:sz w:val="24"/>
        </w:rPr>
        <w:t xml:space="preserve">  2.1 IEEE 14-Bus Topology Instantiation</w:t>
        <w:tab/>
        <w:tab/>
        <w:tab/>
        <w:t>8</w:t>
      </w:r>
    </w:p>
    <w:p>
      <w:pPr>
        <w:spacing w:line="360" w:lineRule="auto"/>
        <w:jc w:val="both"/>
      </w:pPr>
      <w:r>
        <w:rPr>
          <w:sz w:val="24"/>
        </w:rPr>
        <w:t xml:space="preserve">  2.2 Telemetry Feature Normalization</w:t>
        <w:tab/>
        <w:tab/>
        <w:tab/>
        <w:tab/>
        <w:t>10</w:t>
      </w:r>
    </w:p>
    <w:p>
      <w:pPr>
        <w:spacing w:line="360" w:lineRule="auto"/>
        <w:jc w:val="both"/>
      </w:pPr>
      <w:r>
        <w:rPr>
          <w:sz w:val="24"/>
        </w:rPr>
        <w:t>CHAPTER 3</w:t>
        <w:tab/>
        <w:t>QUANTUM FEATURE ENCODER IMPLEMENTATION</w:t>
        <w:tab/>
        <w:t>13</w:t>
      </w:r>
    </w:p>
    <w:p>
      <w:pPr>
        <w:spacing w:line="360" w:lineRule="auto"/>
        <w:jc w:val="both"/>
      </w:pPr>
      <w:r>
        <w:rPr>
          <w:sz w:val="24"/>
        </w:rPr>
        <w:t xml:space="preserve">  3.1 PennyLane Simulator Configuration</w:t>
        <w:tab/>
        <w:tab/>
        <w:tab/>
        <w:tab/>
        <w:t>13</w:t>
      </w:r>
    </w:p>
    <w:p>
      <w:pPr>
        <w:spacing w:line="360" w:lineRule="auto"/>
        <w:jc w:val="both"/>
      </w:pPr>
      <w:r>
        <w:rPr>
          <w:sz w:val="24"/>
        </w:rPr>
        <w:t xml:space="preserve">  3.2 Core Code: Angle Encoding Circuit</w:t>
        <w:tab/>
        <w:tab/>
        <w:tab/>
        <w:tab/>
        <w:t>15</w:t>
      </w:r>
    </w:p>
    <w:p>
      <w:pPr>
        <w:spacing w:line="360" w:lineRule="auto"/>
        <w:jc w:val="both"/>
      </w:pPr>
      <w:r>
        <w:rPr>
          <w:sz w:val="24"/>
        </w:rPr>
        <w:t xml:space="preserve">  3.3 Core Code: IQP Encoding Architecture</w:t>
        <w:tab/>
        <w:tab/>
        <w:tab/>
        <w:t>18</w:t>
      </w:r>
    </w:p>
    <w:p>
      <w:pPr>
        <w:spacing w:line="360" w:lineRule="auto"/>
        <w:jc w:val="both"/>
      </w:pPr>
      <w:r>
        <w:rPr>
          <w:sz w:val="24"/>
        </w:rPr>
        <w:t>CHAPTER 4</w:t>
        <w:tab/>
        <w:t>CLASSICAL MESSAGE PASSING</w:t>
        <w:tab/>
        <w:tab/>
        <w:tab/>
        <w:t>22</w:t>
      </w:r>
    </w:p>
    <w:p>
      <w:pPr>
        <w:spacing w:line="360" w:lineRule="auto"/>
        <w:jc w:val="both"/>
      </w:pPr>
      <w:r>
        <w:rPr>
          <w:sz w:val="24"/>
        </w:rPr>
        <w:t xml:space="preserve">  4.1 Adjacency Matrix Multiplication</w:t>
        <w:tab/>
        <w:tab/>
        <w:tab/>
        <w:tab/>
        <w:t>22</w:t>
      </w:r>
    </w:p>
    <w:p>
      <w:pPr>
        <w:spacing w:line="360" w:lineRule="auto"/>
        <w:jc w:val="both"/>
      </w:pPr>
      <w:r>
        <w:rPr>
          <w:sz w:val="24"/>
        </w:rPr>
        <w:t xml:space="preserve">  4.2 Hybrid Gradient Computation</w:t>
        <w:tab/>
        <w:tab/>
        <w:tab/>
        <w:tab/>
        <w:t>25</w:t>
      </w:r>
    </w:p>
    <w:p>
      <w:pPr>
        <w:spacing w:line="360" w:lineRule="auto"/>
        <w:jc w:val="both"/>
      </w:pPr>
      <w:r>
        <w:rPr>
          <w:sz w:val="24"/>
        </w:rPr>
        <w:t>CHAPTER 5</w:t>
        <w:tab/>
        <w:t>RESULTS &amp; VISUALIZATIONS</w:t>
        <w:tab/>
        <w:tab/>
        <w:tab/>
        <w:t>28</w:t>
      </w:r>
    </w:p>
    <w:p>
      <w:pPr>
        <w:spacing w:line="360" w:lineRule="auto"/>
        <w:jc w:val="both"/>
      </w:pPr>
      <w:r>
        <w:rPr>
          <w:sz w:val="24"/>
        </w:rPr>
        <w:t xml:space="preserve">  5.1 Model Convergence Analysis</w:t>
        <w:tab/>
        <w:tab/>
        <w:tab/>
        <w:tab/>
        <w:t>28</w:t>
      </w:r>
    </w:p>
    <w:p>
      <w:pPr>
        <w:spacing w:line="360" w:lineRule="auto"/>
        <w:jc w:val="both"/>
      </w:pPr>
      <w:r>
        <w:rPr>
          <w:sz w:val="24"/>
        </w:rPr>
        <w:t xml:space="preserve">  5.2 Spatial Risk Visualization</w:t>
        <w:tab/>
        <w:tab/>
        <w:tab/>
        <w:tab/>
        <w:t>30</w:t>
      </w:r>
    </w:p>
    <w:p>
      <w:pPr>
        <w:spacing w:line="360" w:lineRule="auto"/>
        <w:jc w:val="both"/>
      </w:pPr>
      <w:r>
        <w:rPr>
          <w:sz w:val="24"/>
        </w:rPr>
        <w:t xml:space="preserve">  5.3 Baseline Comparison Analysis</w:t>
        <w:tab/>
        <w:tab/>
        <w:tab/>
        <w:tab/>
        <w:t>33</w:t>
      </w:r>
    </w:p>
    <w:p>
      <w:pPr>
        <w:spacing w:line="360" w:lineRule="auto"/>
        <w:jc w:val="both"/>
      </w:pPr>
      <w:r>
        <w:rPr>
          <w:sz w:val="24"/>
        </w:rPr>
        <w:br/>
        <w:t>REFERENCES</w:t>
        <w:tab/>
        <w:tab/>
        <w:tab/>
        <w:tab/>
        <w:tab/>
        <w:tab/>
        <w:tab/>
        <w:t>35</w:t>
      </w:r>
    </w:p>
    <w:p>
      <w:r>
        <w:br w:type="page"/>
      </w:r>
    </w:p>
    <w:p>
      <w:pPr>
        <w:pStyle w:val="Heading1"/>
        <w:spacing w:line="360" w:lineRule="auto"/>
        <w:jc w:val="center"/>
      </w:pPr>
      <w:r>
        <w:t>CHAPTER 1 - INTRODUCTION &amp; SYSTEM ARCHITECTURE</w:t>
      </w:r>
    </w:p>
    <w:p>
      <w:pPr>
        <w:pStyle w:val="Heading2"/>
        <w:spacing w:line="360" w:lineRule="auto"/>
        <w:jc w:val="both"/>
      </w:pPr>
      <w:r>
        <w:t>1.1 Overview of the Software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2970306"/>
            <wp:docPr id="1" name="Picture 1"/>
            <wp:cNvGraphicFramePr>
              <a:graphicFrameLocks noChangeAspect="1"/>
            </wp:cNvGraphicFramePr>
            <a:graphic>
              <a:graphicData uri="http://schemas.openxmlformats.org/drawingml/2006/picture">
                <pic:pic>
                  <pic:nvPicPr>
                    <pic:cNvPr id="0" name="08_architecture_flow.png"/>
                    <pic:cNvPicPr/>
                  </pic:nvPicPr>
                  <pic:blipFill>
                    <a:blip r:embed="rId9"/>
                    <a:stretch>
                      <a:fillRect/>
                    </a:stretch>
                  </pic:blipFill>
                  <pic:spPr>
                    <a:xfrm>
                      <a:off x="0" y="0"/>
                      <a:ext cx="4572000" cy="2970306"/>
                    </a:xfrm>
                    <a:prstGeom prst="rect"/>
                  </pic:spPr>
                </pic:pic>
              </a:graphicData>
            </a:graphic>
          </wp:inline>
        </w:drawing>
      </w:r>
    </w:p>
    <w:p>
      <w:pPr>
        <w:spacing w:line="360" w:lineRule="auto"/>
        <w:jc w:val="center"/>
      </w:pPr>
      <w:r>
        <w:rPr>
          <w:i/>
          <w:sz w:val="22"/>
        </w:rPr>
        <w:t>Figure 1.1: System Architecture and Pipeline Flow</w:t>
      </w:r>
    </w:p>
    <w:p>
      <w:r>
        <w:br/>
      </w:r>
    </w:p>
    <w:p>
      <w:pPr>
        <w:pStyle w:val="Heading2"/>
        <w:spacing w:line="360" w:lineRule="auto"/>
        <w:jc w:val="both"/>
      </w:pPr>
      <w:r>
        <w:t>1.2 Core Dependencies and Simulation Stack</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pStyle w:val="Heading2"/>
        <w:spacing w:line="360" w:lineRule="auto"/>
        <w:jc w:val="both"/>
      </w:pPr>
      <w:r>
        <w:t>1.3 Project Implementation Goals</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type="page"/>
      </w:r>
    </w:p>
    <w:p>
      <w:pPr>
        <w:pStyle w:val="Heading1"/>
        <w:spacing w:line="360" w:lineRule="auto"/>
        <w:jc w:val="center"/>
      </w:pPr>
      <w:r>
        <w:t>CHAPTER 2 - DATA MODELING &amp; GRAPH CONSTRUCTION</w:t>
      </w:r>
    </w:p>
    <w:p>
      <w:pPr>
        <w:pStyle w:val="Heading2"/>
        <w:spacing w:line="360" w:lineRule="auto"/>
        <w:jc w:val="both"/>
      </w:pPr>
      <w:r>
        <w:t>2.1 IEEE 14-Bus Topology Instantiation</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3911065"/>
            <wp:docPr id="2" name="Picture 2"/>
            <wp:cNvGraphicFramePr>
              <a:graphicFrameLocks noChangeAspect="1"/>
            </wp:cNvGraphicFramePr>
            <a:graphic>
              <a:graphicData uri="http://schemas.openxmlformats.org/drawingml/2006/picture">
                <pic:pic>
                  <pic:nvPicPr>
                    <pic:cNvPr id="0" name="01_grid_topology.png"/>
                    <pic:cNvPicPr/>
                  </pic:nvPicPr>
                  <pic:blipFill>
                    <a:blip r:embed="rId10"/>
                    <a:stretch>
                      <a:fillRect/>
                    </a:stretch>
                  </pic:blipFill>
                  <pic:spPr>
                    <a:xfrm>
                      <a:off x="0" y="0"/>
                      <a:ext cx="4572000" cy="3911065"/>
                    </a:xfrm>
                    <a:prstGeom prst="rect"/>
                  </pic:spPr>
                </pic:pic>
              </a:graphicData>
            </a:graphic>
          </wp:inline>
        </w:drawing>
      </w:r>
    </w:p>
    <w:p>
      <w:pPr>
        <w:spacing w:line="360" w:lineRule="auto"/>
        <w:jc w:val="center"/>
      </w:pPr>
      <w:r>
        <w:rPr>
          <w:i/>
          <w:sz w:val="22"/>
        </w:rPr>
        <w:t>Figure 2.1: IEEE 14-bus Grid Topology Extracted from networkx</w:t>
      </w:r>
    </w:p>
    <w:p>
      <w:r>
        <w:br/>
      </w:r>
    </w:p>
    <w:p>
      <w:pPr>
        <w:pStyle w:val="Heading2"/>
        <w:spacing w:line="360" w:lineRule="auto"/>
        <w:jc w:val="both"/>
      </w:pPr>
      <w:r>
        <w:t>2.2 Telemetry Feature Normalization</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type="page"/>
      </w:r>
    </w:p>
    <w:p>
      <w:pPr>
        <w:pStyle w:val="Heading1"/>
        <w:spacing w:line="360" w:lineRule="auto"/>
        <w:jc w:val="center"/>
      </w:pPr>
      <w:r>
        <w:t>CHAPTER 3 - QUANTUM FEATURE ENCODER IMPLEMENTATION</w:t>
      </w:r>
    </w:p>
    <w:p>
      <w:pPr>
        <w:pStyle w:val="Heading2"/>
        <w:spacing w:line="360" w:lineRule="auto"/>
        <w:jc w:val="both"/>
      </w:pPr>
      <w:r>
        <w:t>3.1 PennyLane Simulator Configuration</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3743900"/>
            <wp:docPr id="3" name="Picture 3"/>
            <wp:cNvGraphicFramePr>
              <a:graphicFrameLocks noChangeAspect="1"/>
            </wp:cNvGraphicFramePr>
            <a:graphic>
              <a:graphicData uri="http://schemas.openxmlformats.org/drawingml/2006/picture">
                <pic:pic>
                  <pic:nvPicPr>
                    <pic:cNvPr id="0" name="05_quantum_states.png"/>
                    <pic:cNvPicPr/>
                  </pic:nvPicPr>
                  <pic:blipFill>
                    <a:blip r:embed="rId11"/>
                    <a:stretch>
                      <a:fillRect/>
                    </a:stretch>
                  </pic:blipFill>
                  <pic:spPr>
                    <a:xfrm>
                      <a:off x="0" y="0"/>
                      <a:ext cx="4572000" cy="3743900"/>
                    </a:xfrm>
                    <a:prstGeom prst="rect"/>
                  </pic:spPr>
                </pic:pic>
              </a:graphicData>
            </a:graphic>
          </wp:inline>
        </w:drawing>
      </w:r>
    </w:p>
    <w:p>
      <w:pPr>
        <w:spacing w:line="360" w:lineRule="auto"/>
        <w:jc w:val="center"/>
      </w:pPr>
      <w:r>
        <w:rPr>
          <w:i/>
          <w:sz w:val="22"/>
        </w:rPr>
        <w:t>Figure 3.1: Visualization of Quantum States Post-Embedding</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pStyle w:val="Heading2"/>
        <w:spacing w:line="360" w:lineRule="auto"/>
        <w:jc w:val="both"/>
      </w:pPr>
      <w:r>
        <w:t>3.2 Core Code: Angle Encoding Circuit</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spacing w:line="240" w:lineRule="auto"/>
        <w:ind w:left="720"/>
      </w:pPr>
    </w:p>
    <w:p>
      <w:pPr>
        <w:spacing w:line="240" w:lineRule="auto"/>
        <w:ind w:left="720"/>
      </w:pPr>
      <w:r>
        <w:rPr>
          <w:rFonts w:ascii="Courier New" w:hAnsi="Courier New"/>
          <w:sz w:val="20"/>
        </w:rPr>
        <w:t xml:space="preserve">    def angle_encoding(self, features: np.ndarray) -&gt; np.ndarray:</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Angle Encoding: Map feature values to rotation angles.</w:t>
      </w:r>
    </w:p>
    <w:p>
      <w:pPr>
        <w:spacing w:line="240" w:lineRule="auto"/>
        <w:ind w:left="720"/>
      </w:pPr>
      <w:r>
        <w:rPr>
          <w:rFonts w:ascii="Courier New" w:hAnsi="Courier New"/>
          <w:sz w:val="20"/>
        </w:rPr>
        <w:t xml:space="preserve">        Each qubit rotates by an angle proportional to a feature.</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@qml.qnode(self.dev)</w:t>
      </w:r>
    </w:p>
    <w:p>
      <w:pPr>
        <w:spacing w:line="240" w:lineRule="auto"/>
        <w:ind w:left="720"/>
      </w:pPr>
      <w:r>
        <w:rPr>
          <w:rFonts w:ascii="Courier New" w:hAnsi="Courier New"/>
          <w:sz w:val="20"/>
        </w:rPr>
        <w:t xml:space="preserve">        def encoded_circuit(x):</w:t>
      </w:r>
    </w:p>
    <w:p>
      <w:pPr>
        <w:spacing w:line="240" w:lineRule="auto"/>
        <w:ind w:left="720"/>
      </w:pPr>
      <w:r>
        <w:rPr>
          <w:rFonts w:ascii="Courier New" w:hAnsi="Courier New"/>
          <w:sz w:val="20"/>
        </w:rPr>
        <w:t xml:space="preserve">            # Normalize features to [-π, π]</w:t>
      </w:r>
    </w:p>
    <w:p>
      <w:pPr>
        <w:spacing w:line="240" w:lineRule="auto"/>
        <w:ind w:left="720"/>
      </w:pPr>
      <w:r>
        <w:rPr>
          <w:rFonts w:ascii="Courier New" w:hAnsi="Courier New"/>
          <w:sz w:val="20"/>
        </w:rPr>
        <w:t xml:space="preserve">            x_normalized = np.clip(x, -1, 1) * np.pi</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Use non-commuting rotations so Z-basis measurements carry feature signal.</w:t>
      </w:r>
    </w:p>
    <w:p>
      <w:pPr>
        <w:spacing w:line="240" w:lineRule="auto"/>
        <w:ind w:left="720"/>
      </w:pPr>
      <w:r>
        <w:rPr>
          <w:rFonts w:ascii="Courier New" w:hAnsi="Courier New"/>
          <w:sz w:val="20"/>
        </w:rPr>
        <w:t xml:space="preserve">            for i in range(self.n_qubits):</w:t>
      </w:r>
    </w:p>
    <w:p>
      <w:pPr>
        <w:spacing w:line="240" w:lineRule="auto"/>
        <w:ind w:left="720"/>
      </w:pPr>
      <w:r>
        <w:rPr>
          <w:rFonts w:ascii="Courier New" w:hAnsi="Courier New"/>
          <w:sz w:val="20"/>
        </w:rPr>
        <w:t xml:space="preserve">                theta = x_normalized[i % len(x_normalized)]</w:t>
      </w:r>
    </w:p>
    <w:p>
      <w:pPr>
        <w:spacing w:line="240" w:lineRule="auto"/>
        <w:ind w:left="720"/>
      </w:pPr>
      <w:r>
        <w:rPr>
          <w:rFonts w:ascii="Courier New" w:hAnsi="Courier New"/>
          <w:sz w:val="20"/>
        </w:rPr>
        <w:t xml:space="preserve">                phi = x_normalized[(i + 1) % len(x_normalized)] if len(x_normalized) &gt; 1 else theta</w:t>
      </w:r>
    </w:p>
    <w:p>
      <w:pPr>
        <w:spacing w:line="240" w:lineRule="auto"/>
        <w:ind w:left="720"/>
      </w:pPr>
      <w:r>
        <w:rPr>
          <w:rFonts w:ascii="Courier New" w:hAnsi="Courier New"/>
          <w:sz w:val="20"/>
        </w:rPr>
        <w:t xml:space="preserve">                qml.RX(theta, wires=i)</w:t>
      </w:r>
    </w:p>
    <w:p>
      <w:pPr>
        <w:spacing w:line="240" w:lineRule="auto"/>
        <w:ind w:left="720"/>
      </w:pPr>
      <w:r>
        <w:rPr>
          <w:rFonts w:ascii="Courier New" w:hAnsi="Courier New"/>
          <w:sz w:val="20"/>
        </w:rPr>
        <w:t xml:space="preserve">                qml.RY(phi, wires=i)</w:t>
      </w:r>
    </w:p>
    <w:p>
      <w:pPr>
        <w:spacing w:line="240" w:lineRule="auto"/>
        <w:ind w:left="720"/>
      </w:pPr>
    </w:p>
    <w:p>
      <w:pPr>
        <w:spacing w:line="240" w:lineRule="auto"/>
        <w:ind w:left="720"/>
      </w:pPr>
      <w:r>
        <w:rPr>
          <w:rFonts w:ascii="Courier New" w:hAnsi="Courier New"/>
          <w:sz w:val="20"/>
        </w:rPr>
        <w:t xml:space="preserve">            if self.n_qubits &gt; 1:</w:t>
      </w:r>
    </w:p>
    <w:p>
      <w:pPr>
        <w:spacing w:line="240" w:lineRule="auto"/>
        <w:ind w:left="720"/>
      </w:pPr>
      <w:r>
        <w:rPr>
          <w:rFonts w:ascii="Courier New" w:hAnsi="Courier New"/>
          <w:sz w:val="20"/>
        </w:rPr>
        <w:t xml:space="preserve">                for i in range(self.n_qubits - 1):</w:t>
      </w:r>
    </w:p>
    <w:p>
      <w:pPr>
        <w:spacing w:line="240" w:lineRule="auto"/>
        <w:ind w:left="720"/>
      </w:pPr>
      <w:r>
        <w:rPr>
          <w:rFonts w:ascii="Courier New" w:hAnsi="Courier New"/>
          <w:sz w:val="20"/>
        </w:rPr>
        <w:t xml:space="preserve">                    qml.CNOT(wires=[i, i + 1])</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 Apply X-basis measurement for feature extraction</w:t>
      </w:r>
    </w:p>
    <w:p>
      <w:pPr>
        <w:spacing w:line="240" w:lineRule="auto"/>
        <w:ind w:left="720"/>
      </w:pPr>
      <w:r>
        <w:rPr>
          <w:rFonts w:ascii="Courier New" w:hAnsi="Courier New"/>
          <w:sz w:val="20"/>
        </w:rPr>
        <w:t xml:space="preserve">            return [qml.expval(qml.PauliZ(i)) for i in range(self.n_qubits)]</w:t>
      </w:r>
    </w:p>
    <w:p>
      <w:pPr>
        <w:spacing w:line="240" w:lineRule="auto"/>
        <w:ind w:left="720"/>
      </w:pPr>
      <w:r>
        <w:rPr>
          <w:rFonts w:ascii="Courier New" w:hAnsi="Courier New"/>
          <w:sz w:val="20"/>
        </w:rPr>
        <w:t xml:space="preserve">        </w:t>
      </w:r>
    </w:p>
    <w:p>
      <w:pPr>
        <w:spacing w:line="240" w:lineRule="auto"/>
        <w:ind w:left="720"/>
      </w:pPr>
      <w:r>
        <w:rPr>
          <w:rFonts w:ascii="Courier New" w:hAnsi="Courier New"/>
          <w:sz w:val="20"/>
        </w:rPr>
        <w:t xml:space="preserve">        return np.array(encoded_circuit(features))</w:t>
      </w:r>
    </w:p>
    <w:p>
      <w:pPr>
        <w:spacing w:line="240" w:lineRule="auto"/>
        <w:ind w:left="720"/>
      </w:pPr>
      <w:r>
        <w:rPr>
          <w:rFonts w:ascii="Courier New" w:hAnsi="Courier New"/>
          <w:sz w:val="20"/>
        </w:rPr>
        <w:t xml:space="preserve">    </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pStyle w:val="Heading2"/>
        <w:spacing w:line="360" w:lineRule="auto"/>
        <w:jc w:val="both"/>
      </w:pPr>
      <w:r>
        <w:t>3.3 Core Code: IQP Encoding Architecture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2126110"/>
            <wp:docPr id="4" name="Picture 4"/>
            <wp:cNvGraphicFramePr>
              <a:graphicFrameLocks noChangeAspect="1"/>
            </wp:cNvGraphicFramePr>
            <a:graphic>
              <a:graphicData uri="http://schemas.openxmlformats.org/drawingml/2006/picture">
                <pic:pic>
                  <pic:nvPicPr>
                    <pic:cNvPr id="0" name="09_quantum_circuit_diagram.png"/>
                    <pic:cNvPicPr/>
                  </pic:nvPicPr>
                  <pic:blipFill>
                    <a:blip r:embed="rId12"/>
                    <a:stretch>
                      <a:fillRect/>
                    </a:stretch>
                  </pic:blipFill>
                  <pic:spPr>
                    <a:xfrm>
                      <a:off x="0" y="0"/>
                      <a:ext cx="4572000" cy="2126110"/>
                    </a:xfrm>
                    <a:prstGeom prst="rect"/>
                  </pic:spPr>
                </pic:pic>
              </a:graphicData>
            </a:graphic>
          </wp:inline>
        </w:drawing>
      </w:r>
    </w:p>
    <w:p>
      <w:pPr>
        <w:spacing w:line="360" w:lineRule="auto"/>
        <w:jc w:val="center"/>
      </w:pPr>
      <w:r>
        <w:rPr>
          <w:i/>
          <w:sz w:val="22"/>
        </w:rPr>
        <w:t>Figure 3.2: IQP Encoding Circuit Abstraction</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qkernel_entangled.png"/>
                    <pic:cNvPicPr/>
                  </pic:nvPicPr>
                  <pic:blipFill>
                    <a:blip r:embed="rId13"/>
                    <a:stretch>
                      <a:fillRect/>
                    </a:stretch>
                  </pic:blipFill>
                  <pic:spPr>
                    <a:xfrm>
                      <a:off x="0" y="0"/>
                      <a:ext cx="4572000" cy="3810000"/>
                    </a:xfrm>
                    <a:prstGeom prst="rect"/>
                  </pic:spPr>
                </pic:pic>
              </a:graphicData>
            </a:graphic>
          </wp:inline>
        </w:drawing>
      </w:r>
    </w:p>
    <w:p>
      <w:pPr>
        <w:spacing w:line="360" w:lineRule="auto"/>
        <w:jc w:val="center"/>
      </w:pPr>
      <w:r>
        <w:rPr>
          <w:i/>
          <w:sz w:val="22"/>
        </w:rPr>
        <w:t>Figure 3.3: Entangled Quantum Kernel Matrix Representation</w:t>
      </w:r>
    </w:p>
    <w:p>
      <w:r>
        <w:br/>
      </w:r>
    </w:p>
    <w:p>
      <w:r>
        <w:br w:type="page"/>
      </w:r>
    </w:p>
    <w:p>
      <w:pPr>
        <w:pStyle w:val="Heading1"/>
        <w:spacing w:line="360" w:lineRule="auto"/>
        <w:jc w:val="center"/>
      </w:pPr>
      <w:r>
        <w:t>CHAPTER 4 - CLASSICAL MESSAGE PASSING</w:t>
      </w:r>
    </w:p>
    <w:p>
      <w:pPr>
        <w:pStyle w:val="Heading2"/>
        <w:spacing w:line="360" w:lineRule="auto"/>
        <w:jc w:val="both"/>
      </w:pPr>
      <w:r>
        <w:t>4.1 Adjacency Matrix Multiplication</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pStyle w:val="Heading2"/>
        <w:spacing w:line="360" w:lineRule="auto"/>
        <w:jc w:val="both"/>
      </w:pPr>
      <w:r>
        <w:t>4.2 Hybrid Gradient Computation</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type="page"/>
      </w:r>
    </w:p>
    <w:p>
      <w:pPr>
        <w:pStyle w:val="Heading1"/>
        <w:spacing w:line="360" w:lineRule="auto"/>
        <w:jc w:val="center"/>
      </w:pPr>
      <w:r>
        <w:t>CHAPTER 5 - RESULTS &amp; VISUALIZATIONS</w:t>
      </w:r>
    </w:p>
    <w:p>
      <w:pPr>
        <w:pStyle w:val="Heading2"/>
        <w:spacing w:line="360" w:lineRule="auto"/>
        <w:jc w:val="both"/>
      </w:pPr>
      <w:r>
        <w:t>5.1 Model Convergence Analysis</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1607327"/>
            <wp:docPr id="6" name="Picture 6"/>
            <wp:cNvGraphicFramePr>
              <a:graphicFrameLocks noChangeAspect="1"/>
            </wp:cNvGraphicFramePr>
            <a:graphic>
              <a:graphicData uri="http://schemas.openxmlformats.org/drawingml/2006/picture">
                <pic:pic>
                  <pic:nvPicPr>
                    <pic:cNvPr id="0" name="02_training_history.png"/>
                    <pic:cNvPicPr/>
                  </pic:nvPicPr>
                  <pic:blipFill>
                    <a:blip r:embed="rId14"/>
                    <a:stretch>
                      <a:fillRect/>
                    </a:stretch>
                  </pic:blipFill>
                  <pic:spPr>
                    <a:xfrm>
                      <a:off x="0" y="0"/>
                      <a:ext cx="4572000" cy="1607327"/>
                    </a:xfrm>
                    <a:prstGeom prst="rect"/>
                  </pic:spPr>
                </pic:pic>
              </a:graphicData>
            </a:graphic>
          </wp:inline>
        </w:drawing>
      </w:r>
    </w:p>
    <w:p>
      <w:pPr>
        <w:spacing w:line="360" w:lineRule="auto"/>
        <w:jc w:val="center"/>
      </w:pPr>
      <w:r>
        <w:rPr>
          <w:i/>
          <w:sz w:val="22"/>
        </w:rPr>
        <w:t>Figure 5.1: Model Training History and Loss Convergence</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pStyle w:val="Heading2"/>
        <w:spacing w:line="360" w:lineRule="auto"/>
        <w:jc w:val="both"/>
      </w:pPr>
      <w:r>
        <w:t>5.2 Spatial Risk Visualization</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3703125"/>
            <wp:docPr id="7" name="Picture 7"/>
            <wp:cNvGraphicFramePr>
              <a:graphicFrameLocks noChangeAspect="1"/>
            </wp:cNvGraphicFramePr>
            <a:graphic>
              <a:graphicData uri="http://schemas.openxmlformats.org/drawingml/2006/picture">
                <pic:pic>
                  <pic:nvPicPr>
                    <pic:cNvPr id="0" name="04_grid_risk_heatmap.png"/>
                    <pic:cNvPicPr/>
                  </pic:nvPicPr>
                  <pic:blipFill>
                    <a:blip r:embed="rId15"/>
                    <a:stretch>
                      <a:fillRect/>
                    </a:stretch>
                  </pic:blipFill>
                  <pic:spPr>
                    <a:xfrm>
                      <a:off x="0" y="0"/>
                      <a:ext cx="4572000" cy="3703125"/>
                    </a:xfrm>
                    <a:prstGeom prst="rect"/>
                  </pic:spPr>
                </pic:pic>
              </a:graphicData>
            </a:graphic>
          </wp:inline>
        </w:drawing>
      </w:r>
    </w:p>
    <w:p>
      <w:pPr>
        <w:spacing w:line="360" w:lineRule="auto"/>
        <w:jc w:val="center"/>
      </w:pPr>
      <w:r>
        <w:rPr>
          <w:i/>
          <w:sz w:val="22"/>
        </w:rPr>
        <w:t>Figure 5.2: High-fidelity Grid Risk Heatmap</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2714818"/>
            <wp:docPr id="8" name="Picture 8"/>
            <wp:cNvGraphicFramePr>
              <a:graphicFrameLocks noChangeAspect="1"/>
            </wp:cNvGraphicFramePr>
            <a:graphic>
              <a:graphicData uri="http://schemas.openxmlformats.org/drawingml/2006/picture">
                <pic:pic>
                  <pic:nvPicPr>
                    <pic:cNvPr id="0" name="03_prediction_distribution.png"/>
                    <pic:cNvPicPr/>
                  </pic:nvPicPr>
                  <pic:blipFill>
                    <a:blip r:embed="rId16"/>
                    <a:stretch>
                      <a:fillRect/>
                    </a:stretch>
                  </pic:blipFill>
                  <pic:spPr>
                    <a:xfrm>
                      <a:off x="0" y="0"/>
                      <a:ext cx="4572000" cy="2714818"/>
                    </a:xfrm>
                    <a:prstGeom prst="rect"/>
                  </pic:spPr>
                </pic:pic>
              </a:graphicData>
            </a:graphic>
          </wp:inline>
        </w:drawing>
      </w:r>
    </w:p>
    <w:p>
      <w:pPr>
        <w:spacing w:line="360" w:lineRule="auto"/>
        <w:jc w:val="center"/>
      </w:pPr>
      <w:r>
        <w:rPr>
          <w:i/>
          <w:sz w:val="22"/>
        </w:rPr>
        <w:t>Figure 5.3: Prediction Distribution Density</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pPr>
        <w:pStyle w:val="Heading2"/>
        <w:spacing w:line="360" w:lineRule="auto"/>
        <w:jc w:val="both"/>
      </w:pPr>
      <w:r>
        <w:t>5.3 Baseline Comparison Analysis</w:t>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4050270"/>
            <wp:docPr id="9" name="Picture 9"/>
            <wp:cNvGraphicFramePr>
              <a:graphicFrameLocks noChangeAspect="1"/>
            </wp:cNvGraphicFramePr>
            <a:graphic>
              <a:graphicData uri="http://schemas.openxmlformats.org/drawingml/2006/picture">
                <pic:pic>
                  <pic:nvPicPr>
                    <pic:cNvPr id="0" name="06_roc_curve.png"/>
                    <pic:cNvPicPr/>
                  </pic:nvPicPr>
                  <pic:blipFill>
                    <a:blip r:embed="rId17"/>
                    <a:stretch>
                      <a:fillRect/>
                    </a:stretch>
                  </pic:blipFill>
                  <pic:spPr>
                    <a:xfrm>
                      <a:off x="0" y="0"/>
                      <a:ext cx="4572000" cy="4050270"/>
                    </a:xfrm>
                    <a:prstGeom prst="rect"/>
                  </pic:spPr>
                </pic:pic>
              </a:graphicData>
            </a:graphic>
          </wp:inline>
        </w:drawing>
      </w:r>
    </w:p>
    <w:p>
      <w:pPr>
        <w:spacing w:line="360" w:lineRule="auto"/>
        <w:jc w:val="center"/>
      </w:pPr>
      <w:r>
        <w:rPr>
          <w:i/>
          <w:sz w:val="22"/>
        </w:rPr>
        <w:t>Figure 5.4: Receiver Operating Characteristic (ROC)</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r>
    </w:p>
    <w:p>
      <w:pPr>
        <w:jc w:val="center"/>
      </w:pPr>
      <w:r>
        <w:drawing>
          <wp:inline xmlns:a="http://schemas.openxmlformats.org/drawingml/2006/main" xmlns:pic="http://schemas.openxmlformats.org/drawingml/2006/picture">
            <wp:extent cx="4572000" cy="2724073"/>
            <wp:docPr id="10" name="Picture 10"/>
            <wp:cNvGraphicFramePr>
              <a:graphicFrameLocks noChangeAspect="1"/>
            </wp:cNvGraphicFramePr>
            <a:graphic>
              <a:graphicData uri="http://schemas.openxmlformats.org/drawingml/2006/picture">
                <pic:pic>
                  <pic:nvPicPr>
                    <pic:cNvPr id="0" name="07_baseline_comparison.png"/>
                    <pic:cNvPicPr/>
                  </pic:nvPicPr>
                  <pic:blipFill>
                    <a:blip r:embed="rId18"/>
                    <a:stretch>
                      <a:fillRect/>
                    </a:stretch>
                  </pic:blipFill>
                  <pic:spPr>
                    <a:xfrm>
                      <a:off x="0" y="0"/>
                      <a:ext cx="4572000" cy="2724073"/>
                    </a:xfrm>
                    <a:prstGeom prst="rect"/>
                  </pic:spPr>
                </pic:pic>
              </a:graphicData>
            </a:graphic>
          </wp:inline>
        </w:drawing>
      </w:r>
    </w:p>
    <w:p>
      <w:pPr>
        <w:spacing w:line="360" w:lineRule="auto"/>
        <w:jc w:val="center"/>
      </w:pPr>
      <w:r>
        <w:rPr>
          <w:i/>
          <w:sz w:val="22"/>
        </w:rPr>
        <w:t>Figure 5.5: Classical GCN vs Quantum GCN Baselines</w:t>
      </w:r>
    </w:p>
    <w:p>
      <w:r>
        <w:br/>
      </w:r>
    </w:p>
    <w:p>
      <w:pPr>
        <w:spacing w:line="360" w:lineRule="auto"/>
        <w:jc w:val="both"/>
      </w:pPr>
      <w:r>
        <w:t>The data modeling pipeline is implemented in `phase1_data_modeling.py`. The fundamental architecture represents the IEEE 14-bus power grid as a non-Euclidean graph object. We utilize the `networkx` library to instantiate the grid topology, where nodes represent physical buses (substations, generators) and edges denote transmission lines connecting these nodes.</w:t>
      </w:r>
    </w:p>
    <w:p>
      <w:pPr>
        <w:spacing w:line="360" w:lineRule="auto"/>
        <w:jc w:val="both"/>
      </w:pPr>
      <w:r>
        <w:t>Each node is parameterized with a multi-dimensional feature vector. The core telemetry simulated includes: Voltage Magnitude (per unit), Phase Angle (radians), Active Power Injection (MW), and Reactive Power Injection (MVAR). These features are extracted and normalized using robust scaling techniques to ensure that the disparate physical units do not destabilize the gradient updates during the quantum-classical hybrid training phase.</w:t>
      </w:r>
    </w:p>
    <w:p>
      <w:pPr>
        <w:spacing w:line="360" w:lineRule="auto"/>
        <w:jc w:val="both"/>
      </w:pPr>
      <w:r>
        <w:t>To validate the topology, the graph construction method explicitly defines the adjacency matrix $A \in \mathbb{R}^{N \times N}$, which maps the physical connections between the 14 buses. This adjacency matrix is subsequently normalized to $\hat{A} = \tilde{D}^{-1/2} \tilde{A} \tilde{D}^{-1/2}$, where $\tilde{A} = A + I$ includes self-loops, and $\tilde{D}$ is the diagonal degree matrix. This normalized adjacency matrix ensures stable message passing in later layers.</w:t>
      </w:r>
    </w:p>
    <w:p>
      <w:pPr>
        <w:spacing w:line="360" w:lineRule="auto"/>
        <w:jc w:val="both"/>
      </w:pPr>
      <w:r>
        <w:t>The core quantum transformation occurs in `phase2_quantum_embedding.py`. Instead of relying on classical dense layers for feature extraction, we project the normalized physical telemetry into a higher-dimensional quantum Hilbert space. This is achieved using PennyLane (`pennylane as qml`) operating on a `default.qubit` simulator parameterized for 4 qubits per node.</w:t>
      </w:r>
    </w:p>
    <w:p>
      <w:pPr>
        <w:spacing w:line="360" w:lineRule="auto"/>
        <w:jc w:val="both"/>
      </w:pPr>
      <w:r>
        <w:t>The `QuantumFeatureEncoder` class initializes the target quantum device and orchestrates the embedding strategy. The primary strategy implemented is 'Angle Encoding', which maps continuous classical features into the rotation angles of quantum gates. The input feature vector $x$ is normalized to the domain $[-\pi, \pi]$.</w:t>
      </w:r>
    </w:p>
    <w:p>
      <w:pPr>
        <w:spacing w:line="360" w:lineRule="auto"/>
        <w:jc w:val="both"/>
      </w:pPr>
      <w:r>
        <w:t>Within the parameterized quantum circuit (`@qml.qnode`), the normalized features dictate the rotation of qubits via consecutive $R_x$ and $R_y$ gates. To generate a highly expressive feature space, we explicitly introduce entanglement. After the initial rotations, a cascade of CNOT gates is applied across adjacent qubits (`qml.CNOT(wires=[i, i+1])`), forcing the quantum states to entangle.</w:t>
      </w:r>
    </w:p>
    <w:p>
      <w:pPr>
        <w:spacing w:line="360" w:lineRule="auto"/>
        <w:jc w:val="both"/>
      </w:pPr>
      <w:r>
        <w:t>Feature extraction is performed by measuring the Pauli-Z expectation values of each qubit (`[qml.expval(qml.PauliZ(i)) for i in range(self.n_qubits)]`). This operation collapses the entangled quantum state back into a classical scalar vector. Consequently, the input 4-dimensional telemetry is transformed through a non-linear, entangled quantum kernel before being passed to the spatial aggregation layer.</w:t>
      </w:r>
    </w:p>
    <w:p>
      <w:pPr>
        <w:spacing w:line="360" w:lineRule="auto"/>
        <w:jc w:val="both"/>
      </w:pPr>
      <w:r>
        <w:t>The `phase3_quantum_layer.py` module defines the hybrid interaction. After the nodal features are embedded as Pauli-Z expectation values, the classical graph neural network architecture takes over. The `QuantumGraphLayer` performs the neighborhood aggregation, executing the matrix multiplication $X_{new} = \sigma(\hat{A} X_{quantum} W)$.</w:t>
      </w:r>
    </w:p>
    <w:p>
      <w:pPr>
        <w:spacing w:line="360" w:lineRule="auto"/>
        <w:jc w:val="both"/>
      </w:pPr>
      <w:r>
        <w:t>In this formulation, $X_{quantum}$ represents the node embeddings retrieved from the PennyLane circuit, $\hat{A}$ is the normalized adjacency matrix, and $W$ is the trainable weight matrix optimized via classical gradient descent. The non-linear activation function $\sigma$ ensures the model can capture complex boundary conditions indicative of grid instability.</w:t>
      </w:r>
    </w:p>
    <w:p>
      <w:pPr>
        <w:spacing w:line="360" w:lineRule="auto"/>
        <w:jc w:val="both"/>
      </w:pPr>
      <w:r>
        <w:t>The orchestration of the training dynamics is handled by `phase4_training.py`. Given the computational complexity of simulating quantum circuits on classical hardware (especially for large batch sizes), the training loop utilizes a hybrid optimization approach. The gradients of the quantum circuit are computed using the parameter-shift rule provided by PennyLane's Autograd wrapper.</w:t>
      </w:r>
    </w:p>
    <w:p>
      <w:pPr>
        <w:spacing w:line="360" w:lineRule="auto"/>
        <w:jc w:val="both"/>
      </w:pPr>
      <w:r>
        <w:t>The loss landscape for risk classification is modeled using Binary Cross-Entropy (BCE). The labels map to binary grid states: `0` (Stable) and `1` (Critical/Failure). The optimizer (Adam) iteratively updates both the classical weights of the GCN layer and the potential trainable parameters within the variational quantum circuit (if utilizing VQAs).</w:t>
      </w:r>
    </w:p>
    <w:p>
      <w:pPr>
        <w:spacing w:line="360" w:lineRule="auto"/>
        <w:jc w:val="both"/>
      </w:pPr>
      <w:r>
        <w:t>To evaluate the model's performance without requiring heavy GPU clusters, the system architecture supports a 0-epoch execution mode (`demo.py`). In this configuration, the full forward pass—including quantum embedding, entanglement, measurement, and classical message passing—is executed using randomized weights, strictly verifying the operational integrity of the pipeline.</w:t>
      </w:r>
    </w:p>
    <w:p>
      <w:r>
        <w:br w:type="page"/>
      </w:r>
    </w:p>
    <w:p>
      <w:pPr>
        <w:spacing w:line="360" w:lineRule="auto"/>
        <w:jc w:val="center"/>
      </w:pPr>
      <w:r>
        <w:rPr>
          <w:b/>
          <w:sz w:val="32"/>
        </w:rPr>
        <w:t>REFERENCES</w:t>
      </w:r>
    </w:p>
    <w:p>
      <w:pPr>
        <w:spacing w:line="360" w:lineRule="auto"/>
        <w:jc w:val="both"/>
      </w:pPr>
      <w:r>
        <w:t>[1] M. Schuld and F. Petruccione, Supervised Learning with Quantum Computers. Springer, 2018.</w:t>
      </w:r>
    </w:p>
    <w:p>
      <w:pPr>
        <w:spacing w:line="360" w:lineRule="auto"/>
        <w:jc w:val="both"/>
      </w:pPr>
      <w:r>
        <w:t>[2] T. N. Kipf and M. Welling, "Semi-Supervised Classification with Graph Convolutional Networks," ICLR, 2017.</w:t>
      </w:r>
    </w:p>
    <w:p>
      <w:pPr>
        <w:spacing w:line="360" w:lineRule="auto"/>
        <w:jc w:val="both"/>
      </w:pPr>
      <w:r>
        <w:t>[3] Qiskit contributors, "Qiskit: An Open-source Framework for Quantum Computing," 2023.</w:t>
      </w:r>
    </w:p>
    <w:p>
      <w:pPr>
        <w:spacing w:line="360" w:lineRule="auto"/>
        <w:jc w:val="both"/>
      </w:pPr>
      <w:r>
        <w:t>[4] V. Havlíček et al., "Supervised learning with quantum-enhanced feature spaces," Nature, vol. 567, pp. 209-212, 2019.</w:t>
      </w:r>
    </w:p>
    <w:p>
      <w:pPr>
        <w:spacing w:line="360" w:lineRule="auto"/>
        <w:jc w:val="both"/>
      </w:pPr>
      <w:r>
        <w:t>[5] IEEE Power &amp; Energy Society, "IEEE 14-bus system topology and telemetry standards," IEEE, 2020.</w:t>
      </w:r>
    </w:p>
    <w:p>
      <w:pPr>
        <w:spacing w:line="360" w:lineRule="auto"/>
        <w:jc w:val="both"/>
      </w:pPr>
      <w:r>
        <w:t>[6] A. Abbas et al., "The power of quantum neural networks," Nature Computational Science, vol. 1, pp. 403-409, 2021.</w:t>
      </w:r>
    </w:p>
    <w:p>
      <w:r>
        <w:br w:type="page"/>
      </w:r>
    </w:p>
    <w:sectPr w:rsidR="00FC693F" w:rsidRPr="0006063C" w:rsidSect="00034616">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